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023B" w14:textId="0A6E9B93" w:rsidR="00027950" w:rsidRPr="00454560" w:rsidRDefault="00E03802" w:rsidP="00454560">
      <w:pPr>
        <w:spacing w:after="240"/>
        <w:ind w:right="120"/>
        <w:jc w:val="center"/>
        <w:outlineLvl w:val="0"/>
        <w:rPr>
          <w:rFonts w:ascii="Dax Offc Pro Light" w:eastAsia="Times New Roman" w:hAnsi="Dax Offc Pro Light"/>
          <w:b/>
          <w:bCs/>
          <w:color w:val="302E2C"/>
          <w:kern w:val="36"/>
          <w:sz w:val="28"/>
          <w:szCs w:val="28"/>
          <w:lang w:val="cs-CZ" w:eastAsia="cs-CZ"/>
        </w:rPr>
      </w:pPr>
      <w:r>
        <w:rPr>
          <w:rFonts w:ascii="Dax Offc Pro Light" w:eastAsia="Times New Roman" w:hAnsi="Dax Offc Pro Light"/>
          <w:b/>
          <w:bCs/>
          <w:color w:val="302E2C"/>
          <w:kern w:val="36"/>
          <w:sz w:val="28"/>
          <w:szCs w:val="28"/>
          <w:lang w:val="cs-CZ" w:eastAsia="cs-CZ"/>
        </w:rPr>
        <w:t>O</w:t>
      </w:r>
      <w:r w:rsidR="00E8511A" w:rsidRPr="00454560">
        <w:rPr>
          <w:rFonts w:ascii="Dax Offc Pro Light" w:eastAsia="Times New Roman" w:hAnsi="Dax Offc Pro Light"/>
          <w:b/>
          <w:bCs/>
          <w:color w:val="302E2C"/>
          <w:kern w:val="36"/>
          <w:sz w:val="28"/>
          <w:szCs w:val="28"/>
          <w:lang w:val="cs-CZ" w:eastAsia="cs-CZ"/>
        </w:rPr>
        <w:t xml:space="preserve">bchodní </w:t>
      </w:r>
      <w:r w:rsidR="00027950" w:rsidRPr="00454560">
        <w:rPr>
          <w:rFonts w:ascii="Dax Offc Pro Light" w:eastAsia="Times New Roman" w:hAnsi="Dax Offc Pro Light"/>
          <w:b/>
          <w:bCs/>
          <w:color w:val="302E2C"/>
          <w:kern w:val="36"/>
          <w:sz w:val="28"/>
          <w:szCs w:val="28"/>
          <w:lang w:val="cs-CZ" w:eastAsia="cs-CZ"/>
        </w:rPr>
        <w:t>podmínky společnosti STILL ČR spol. s r.</w:t>
      </w:r>
      <w:r>
        <w:rPr>
          <w:rFonts w:ascii="Dax Offc Pro Light" w:eastAsia="Times New Roman" w:hAnsi="Dax Offc Pro Light"/>
          <w:b/>
          <w:bCs/>
          <w:color w:val="302E2C"/>
          <w:kern w:val="36"/>
          <w:sz w:val="28"/>
          <w:szCs w:val="28"/>
          <w:lang w:val="cs-CZ" w:eastAsia="cs-CZ"/>
        </w:rPr>
        <w:t xml:space="preserve"> </w:t>
      </w:r>
      <w:r w:rsidR="00027950" w:rsidRPr="00454560">
        <w:rPr>
          <w:rFonts w:ascii="Dax Offc Pro Light" w:eastAsia="Times New Roman" w:hAnsi="Dax Offc Pro Light"/>
          <w:b/>
          <w:bCs/>
          <w:color w:val="302E2C"/>
          <w:kern w:val="36"/>
          <w:sz w:val="28"/>
          <w:szCs w:val="28"/>
          <w:lang w:val="cs-CZ" w:eastAsia="cs-CZ"/>
        </w:rPr>
        <w:t>o.</w:t>
      </w:r>
    </w:p>
    <w:p w14:paraId="3C14BD5C" w14:textId="77777777" w:rsidR="000473BF" w:rsidRPr="00454560" w:rsidRDefault="00E8511A" w:rsidP="00631E48">
      <w:pPr>
        <w:ind w:right="120"/>
        <w:rPr>
          <w:rFonts w:ascii="Dax Offc Pro Light" w:eastAsia="Times New Roman" w:hAnsi="Dax Offc Pro Light"/>
          <w:b/>
          <w:bCs/>
          <w:color w:val="545454"/>
          <w:szCs w:val="20"/>
          <w:lang w:val="cs-CZ" w:eastAsia="cs-CZ"/>
        </w:rPr>
      </w:pPr>
      <w:r w:rsidRPr="00454560">
        <w:rPr>
          <w:rFonts w:ascii="Dax Offc Pro Light" w:eastAsia="Times New Roman" w:hAnsi="Dax Offc Pro Light"/>
          <w:b/>
          <w:bCs/>
          <w:color w:val="545454"/>
          <w:szCs w:val="20"/>
          <w:lang w:val="cs-CZ" w:eastAsia="cs-CZ"/>
        </w:rPr>
        <w:t xml:space="preserve">I. </w:t>
      </w:r>
      <w:r w:rsidR="000473BF" w:rsidRPr="00454560">
        <w:rPr>
          <w:rFonts w:ascii="Dax Offc Pro Light" w:eastAsia="Times New Roman" w:hAnsi="Dax Offc Pro Light"/>
          <w:b/>
          <w:bCs/>
          <w:color w:val="545454"/>
          <w:szCs w:val="20"/>
          <w:lang w:val="cs-CZ" w:eastAsia="cs-CZ"/>
        </w:rPr>
        <w:t>Základní ustanovení</w:t>
      </w:r>
    </w:p>
    <w:p w14:paraId="75C8050C" w14:textId="51EF4FCA" w:rsidR="000473BF" w:rsidRPr="00454560" w:rsidRDefault="00027950" w:rsidP="00631E48">
      <w:pPr>
        <w:ind w:right="120"/>
        <w:rPr>
          <w:rFonts w:ascii="Dax Offc Pro Light" w:eastAsia="Times New Roman" w:hAnsi="Dax Offc Pro Light"/>
          <w:color w:val="545454"/>
          <w:szCs w:val="20"/>
          <w:lang w:val="cs-CZ" w:eastAsia="cs-CZ"/>
        </w:rPr>
      </w:pPr>
      <w:r w:rsidRPr="00454560">
        <w:rPr>
          <w:rFonts w:ascii="Dax Offc Pro Light" w:eastAsia="Times New Roman" w:hAnsi="Dax Offc Pro Light"/>
          <w:color w:val="545454"/>
          <w:szCs w:val="20"/>
          <w:lang w:val="cs-CZ" w:eastAsia="cs-CZ"/>
        </w:rPr>
        <w:t xml:space="preserve">1. Tyto </w:t>
      </w:r>
      <w:proofErr w:type="gramStart"/>
      <w:r w:rsidR="000473BF" w:rsidRPr="00454560">
        <w:rPr>
          <w:rFonts w:ascii="Dax Offc Pro Light" w:eastAsia="Times New Roman" w:hAnsi="Dax Offc Pro Light"/>
          <w:color w:val="545454"/>
          <w:szCs w:val="20"/>
          <w:lang w:val="cs-CZ" w:eastAsia="cs-CZ"/>
        </w:rPr>
        <w:t xml:space="preserve">obchodní </w:t>
      </w:r>
      <w:r w:rsidRPr="00454560">
        <w:rPr>
          <w:rFonts w:ascii="Dax Offc Pro Light" w:eastAsia="Times New Roman" w:hAnsi="Dax Offc Pro Light"/>
          <w:color w:val="545454"/>
          <w:szCs w:val="20"/>
          <w:lang w:val="cs-CZ" w:eastAsia="cs-CZ"/>
        </w:rPr>
        <w:t xml:space="preserve"> podmínky</w:t>
      </w:r>
      <w:proofErr w:type="gramEnd"/>
      <w:r w:rsidRPr="00454560">
        <w:rPr>
          <w:rFonts w:ascii="Dax Offc Pro Light" w:eastAsia="Times New Roman" w:hAnsi="Dax Offc Pro Light"/>
          <w:color w:val="545454"/>
          <w:szCs w:val="20"/>
          <w:lang w:val="cs-CZ" w:eastAsia="cs-CZ"/>
        </w:rPr>
        <w:t xml:space="preserve"> (dále jen</w:t>
      </w:r>
      <w:r w:rsidR="00B37C17">
        <w:rPr>
          <w:rFonts w:ascii="Dax Offc Pro Light" w:eastAsia="Times New Roman" w:hAnsi="Dax Offc Pro Light"/>
          <w:color w:val="545454"/>
          <w:szCs w:val="20"/>
          <w:lang w:val="cs-CZ" w:eastAsia="cs-CZ"/>
        </w:rPr>
        <w:t xml:space="preserve"> také</w:t>
      </w:r>
      <w:r w:rsidRPr="00454560">
        <w:rPr>
          <w:rFonts w:ascii="Dax Offc Pro Light" w:eastAsia="Times New Roman" w:hAnsi="Dax Offc Pro Light"/>
          <w:color w:val="545454"/>
          <w:szCs w:val="20"/>
          <w:lang w:val="cs-CZ" w:eastAsia="cs-CZ"/>
        </w:rPr>
        <w:t> </w:t>
      </w:r>
      <w:r w:rsidR="000473BF" w:rsidRPr="00454560">
        <w:rPr>
          <w:rFonts w:ascii="Dax Offc Pro Light" w:eastAsia="Times New Roman" w:hAnsi="Dax Offc Pro Light"/>
          <w:b/>
          <w:bCs/>
          <w:color w:val="545454"/>
          <w:szCs w:val="20"/>
          <w:lang w:val="cs-CZ" w:eastAsia="cs-CZ"/>
        </w:rPr>
        <w:t>„</w:t>
      </w:r>
      <w:r w:rsidR="00B37C17">
        <w:rPr>
          <w:rFonts w:ascii="Dax Offc Pro Light" w:eastAsia="Times New Roman" w:hAnsi="Dax Offc Pro Light"/>
          <w:b/>
          <w:bCs/>
          <w:color w:val="545454"/>
          <w:szCs w:val="20"/>
          <w:u w:val="single"/>
          <w:lang w:val="cs-CZ" w:eastAsia="cs-CZ"/>
        </w:rPr>
        <w:t>OP</w:t>
      </w:r>
      <w:r w:rsidR="000473BF" w:rsidRPr="00454560">
        <w:rPr>
          <w:rFonts w:ascii="Dax Offc Pro Light" w:eastAsia="Times New Roman" w:hAnsi="Dax Offc Pro Light"/>
          <w:b/>
          <w:bCs/>
          <w:color w:val="545454"/>
          <w:szCs w:val="20"/>
          <w:u w:val="single"/>
          <w:lang w:val="cs-CZ" w:eastAsia="cs-CZ"/>
        </w:rPr>
        <w:t>“</w:t>
      </w:r>
      <w:r w:rsidRPr="00454560">
        <w:rPr>
          <w:rFonts w:ascii="Dax Offc Pro Light" w:eastAsia="Times New Roman" w:hAnsi="Dax Offc Pro Light"/>
          <w:b/>
          <w:bCs/>
          <w:color w:val="545454"/>
          <w:szCs w:val="20"/>
          <w:lang w:val="cs-CZ" w:eastAsia="cs-CZ"/>
        </w:rPr>
        <w:t>)</w:t>
      </w:r>
      <w:r w:rsidRPr="00454560">
        <w:rPr>
          <w:rFonts w:ascii="Dax Offc Pro Light" w:eastAsia="Times New Roman" w:hAnsi="Dax Offc Pro Light"/>
          <w:color w:val="545454"/>
          <w:szCs w:val="20"/>
          <w:lang w:val="cs-CZ" w:eastAsia="cs-CZ"/>
        </w:rPr>
        <w:t xml:space="preserve"> jsou </w:t>
      </w:r>
      <w:r w:rsidRPr="00454560">
        <w:rPr>
          <w:rFonts w:ascii="Dax Offc Pro Light" w:eastAsia="Times New Roman" w:hAnsi="Dax Offc Pro Light"/>
          <w:b/>
          <w:bCs/>
          <w:color w:val="545454"/>
          <w:szCs w:val="20"/>
          <w:lang w:val="cs-CZ" w:eastAsia="cs-CZ"/>
        </w:rPr>
        <w:t>nedílnou součástí veškerých kupních smluv uzavřených na základě objednávek</w:t>
      </w:r>
      <w:r w:rsidRPr="00454560">
        <w:rPr>
          <w:rFonts w:ascii="Dax Offc Pro Light" w:eastAsia="Times New Roman" w:hAnsi="Dax Offc Pro Light"/>
          <w:color w:val="545454"/>
          <w:szCs w:val="20"/>
          <w:lang w:val="cs-CZ" w:eastAsia="cs-CZ"/>
        </w:rPr>
        <w:t xml:space="preserve"> (návrhů na uzavření smluv – dále jen </w:t>
      </w:r>
      <w:r w:rsidRPr="00454560">
        <w:rPr>
          <w:rFonts w:ascii="Dax Offc Pro Light" w:eastAsia="Times New Roman" w:hAnsi="Dax Offc Pro Light"/>
          <w:color w:val="545454"/>
          <w:szCs w:val="20"/>
          <w:u w:val="single"/>
          <w:lang w:val="cs-CZ" w:eastAsia="cs-CZ"/>
        </w:rPr>
        <w:t>objednávek</w:t>
      </w:r>
      <w:r w:rsidRPr="00454560">
        <w:rPr>
          <w:rFonts w:ascii="Dax Offc Pro Light" w:eastAsia="Times New Roman" w:hAnsi="Dax Offc Pro Light"/>
          <w:color w:val="545454"/>
          <w:szCs w:val="20"/>
          <w:lang w:val="cs-CZ" w:eastAsia="cs-CZ"/>
        </w:rPr>
        <w:t>) učiněných společností </w:t>
      </w:r>
      <w:r w:rsidRPr="00454560">
        <w:rPr>
          <w:rFonts w:ascii="Dax Offc Pro Light" w:eastAsia="Times New Roman" w:hAnsi="Dax Offc Pro Light"/>
          <w:b/>
          <w:bCs/>
          <w:color w:val="545454"/>
          <w:szCs w:val="20"/>
          <w:lang w:val="cs-CZ" w:eastAsia="cs-CZ"/>
        </w:rPr>
        <w:t>STILL ČR spol. s r.o.</w:t>
      </w:r>
      <w:r w:rsidRPr="00454560">
        <w:rPr>
          <w:rFonts w:ascii="Dax Offc Pro Light" w:eastAsia="Times New Roman" w:hAnsi="Dax Offc Pro Light"/>
          <w:color w:val="545454"/>
          <w:szCs w:val="20"/>
          <w:lang w:val="cs-CZ" w:eastAsia="cs-CZ"/>
        </w:rPr>
        <w:t xml:space="preserve">, se sídlem v Praze, Štěrboholská 102, IČ: 49354469, jakožto kupujícím (dále jen </w:t>
      </w:r>
      <w:r w:rsidR="000473BF" w:rsidRPr="00454560">
        <w:rPr>
          <w:rFonts w:ascii="Dax Offc Pro Light" w:eastAsia="Times New Roman" w:hAnsi="Dax Offc Pro Light"/>
          <w:b/>
          <w:bCs/>
          <w:color w:val="545454"/>
          <w:szCs w:val="20"/>
          <w:lang w:val="cs-CZ" w:eastAsia="cs-CZ"/>
        </w:rPr>
        <w:t>„</w:t>
      </w:r>
      <w:r w:rsidRPr="00454560">
        <w:rPr>
          <w:rFonts w:ascii="Dax Offc Pro Light" w:eastAsia="Times New Roman" w:hAnsi="Dax Offc Pro Light"/>
          <w:b/>
          <w:bCs/>
          <w:color w:val="545454"/>
          <w:szCs w:val="20"/>
          <w:lang w:val="cs-CZ" w:eastAsia="cs-CZ"/>
        </w:rPr>
        <w:t>kupující</w:t>
      </w:r>
      <w:r w:rsidR="000473BF" w:rsidRPr="00454560">
        <w:rPr>
          <w:rFonts w:ascii="Dax Offc Pro Light" w:eastAsia="Times New Roman" w:hAnsi="Dax Offc Pro Light"/>
          <w:b/>
          <w:bCs/>
          <w:color w:val="545454"/>
          <w:szCs w:val="20"/>
          <w:lang w:val="cs-CZ" w:eastAsia="cs-CZ"/>
        </w:rPr>
        <w:t>“</w:t>
      </w:r>
      <w:r w:rsidRPr="00454560">
        <w:rPr>
          <w:rFonts w:ascii="Dax Offc Pro Light" w:eastAsia="Times New Roman" w:hAnsi="Dax Offc Pro Light"/>
          <w:color w:val="545454"/>
          <w:szCs w:val="20"/>
          <w:lang w:val="cs-CZ" w:eastAsia="cs-CZ"/>
        </w:rPr>
        <w:t>)</w:t>
      </w:r>
      <w:r w:rsidR="000473BF" w:rsidRPr="00454560">
        <w:rPr>
          <w:rFonts w:ascii="Dax Offc Pro Light" w:eastAsia="Times New Roman" w:hAnsi="Dax Offc Pro Light"/>
          <w:color w:val="545454"/>
          <w:szCs w:val="20"/>
          <w:lang w:val="cs-CZ" w:eastAsia="cs-CZ"/>
        </w:rPr>
        <w:t>.  Odchýlit se od těchto obchodních podmínek je možné pouze na základě odchylného ustanovení v </w:t>
      </w:r>
      <w:r w:rsidR="00E03802">
        <w:rPr>
          <w:rFonts w:ascii="Dax Offc Pro Light" w:eastAsia="Times New Roman" w:hAnsi="Dax Offc Pro Light"/>
          <w:color w:val="545454"/>
          <w:szCs w:val="20"/>
          <w:lang w:val="cs-CZ" w:eastAsia="cs-CZ"/>
        </w:rPr>
        <w:t>objednávce</w:t>
      </w:r>
      <w:r w:rsidR="000473BF" w:rsidRPr="00454560">
        <w:rPr>
          <w:rFonts w:ascii="Dax Offc Pro Light" w:eastAsia="Times New Roman" w:hAnsi="Dax Offc Pro Light"/>
          <w:color w:val="545454"/>
          <w:szCs w:val="20"/>
          <w:lang w:val="cs-CZ" w:eastAsia="cs-CZ"/>
        </w:rPr>
        <w:t>.</w:t>
      </w:r>
    </w:p>
    <w:p w14:paraId="76951294" w14:textId="77777777" w:rsidR="000473BF" w:rsidRPr="00454560" w:rsidRDefault="000473BF" w:rsidP="00631E48">
      <w:pPr>
        <w:ind w:right="120"/>
        <w:rPr>
          <w:rFonts w:ascii="Dax Offc Pro Light" w:eastAsia="Times New Roman" w:hAnsi="Dax Offc Pro Light"/>
          <w:b/>
          <w:bCs/>
          <w:color w:val="545454"/>
          <w:szCs w:val="20"/>
          <w:lang w:val="cs-CZ" w:eastAsia="cs-CZ"/>
        </w:rPr>
      </w:pPr>
      <w:r w:rsidRPr="00454560">
        <w:rPr>
          <w:rFonts w:ascii="Dax Offc Pro Light" w:eastAsia="Times New Roman" w:hAnsi="Dax Offc Pro Light"/>
          <w:b/>
          <w:bCs/>
          <w:color w:val="545454"/>
          <w:szCs w:val="20"/>
          <w:lang w:val="cs-CZ" w:eastAsia="cs-CZ"/>
        </w:rPr>
        <w:t>II. Uzavírání kupní smlouvy</w:t>
      </w:r>
    </w:p>
    <w:p w14:paraId="47645A5E" w14:textId="4446FB04" w:rsidR="000473BF" w:rsidRPr="00454560" w:rsidRDefault="000473BF" w:rsidP="00631E48">
      <w:pPr>
        <w:ind w:right="120"/>
        <w:rPr>
          <w:rFonts w:ascii="Dax Offc Pro Light" w:eastAsia="Times New Roman" w:hAnsi="Dax Offc Pro Light"/>
          <w:b/>
          <w:bCs/>
          <w:color w:val="545454"/>
          <w:szCs w:val="20"/>
          <w:lang w:val="cs-CZ" w:eastAsia="cs-CZ"/>
        </w:rPr>
      </w:pPr>
      <w:r w:rsidRPr="00454560">
        <w:rPr>
          <w:rFonts w:ascii="Dax Offc Pro Light" w:eastAsia="Times New Roman" w:hAnsi="Dax Offc Pro Light"/>
          <w:color w:val="545454"/>
          <w:szCs w:val="20"/>
          <w:lang w:val="cs-CZ" w:eastAsia="cs-CZ"/>
        </w:rPr>
        <w:t>1. Kupní smlouva vzniká písemným a bezvýhradným potvrzením (akceptací) objednávky prodávajícím, doručeným kupujícímu ve lhůtě uvedené v objednávce, jinak do tří pracovních dnů od obdržení objednávky</w:t>
      </w:r>
      <w:r w:rsidR="003B5A2B">
        <w:rPr>
          <w:rFonts w:ascii="Dax Offc Pro Light" w:eastAsia="Times New Roman" w:hAnsi="Dax Offc Pro Light"/>
          <w:color w:val="545454"/>
          <w:szCs w:val="20"/>
          <w:lang w:val="cs-CZ" w:eastAsia="cs-CZ"/>
        </w:rPr>
        <w:t>.</w:t>
      </w:r>
      <w:r w:rsidRPr="00454560">
        <w:rPr>
          <w:rFonts w:ascii="Dax Offc Pro Light" w:eastAsia="Times New Roman" w:hAnsi="Dax Offc Pro Light"/>
          <w:color w:val="545454"/>
          <w:szCs w:val="20"/>
          <w:lang w:val="cs-CZ" w:eastAsia="cs-CZ"/>
        </w:rPr>
        <w:t xml:space="preserve"> Odpověď prodávajícího na objednávku s jakýmkoliv dodatkem nebo odchylkou se považuje za odmítnutí objednávky a za novou nabídku na uzavření kupní smlouvy. Za písemnou objednávku nebo její potvrzení se považuje i písemnost zaslaná faxem nebo e</w:t>
      </w:r>
      <w:r w:rsidR="00B37C17">
        <w:rPr>
          <w:rFonts w:ascii="Dax Offc Pro Light" w:eastAsia="Times New Roman" w:hAnsi="Dax Offc Pro Light"/>
          <w:color w:val="545454"/>
          <w:szCs w:val="20"/>
          <w:lang w:val="cs-CZ" w:eastAsia="cs-CZ"/>
        </w:rPr>
        <w:t>-</w:t>
      </w:r>
      <w:r w:rsidRPr="00454560">
        <w:rPr>
          <w:rFonts w:ascii="Dax Offc Pro Light" w:eastAsia="Times New Roman" w:hAnsi="Dax Offc Pro Light"/>
          <w:color w:val="545454"/>
          <w:szCs w:val="20"/>
          <w:lang w:val="cs-CZ" w:eastAsia="cs-CZ"/>
        </w:rPr>
        <w:t>mailem.</w:t>
      </w:r>
    </w:p>
    <w:p w14:paraId="18305DD2" w14:textId="25EC57AB" w:rsidR="009A2913" w:rsidRPr="00454560" w:rsidRDefault="000473BF" w:rsidP="00631E48">
      <w:pPr>
        <w:ind w:right="120"/>
        <w:rPr>
          <w:rFonts w:ascii="Dax Offc Pro Light" w:eastAsia="Times New Roman" w:hAnsi="Dax Offc Pro Light"/>
          <w:color w:val="545454"/>
          <w:szCs w:val="20"/>
          <w:lang w:val="cs-CZ" w:eastAsia="cs-CZ"/>
        </w:rPr>
      </w:pPr>
      <w:r w:rsidRPr="00454560">
        <w:rPr>
          <w:rFonts w:ascii="Dax Offc Pro Light" w:eastAsia="Times New Roman" w:hAnsi="Dax Offc Pro Light"/>
          <w:color w:val="545454"/>
          <w:szCs w:val="20"/>
          <w:lang w:val="cs-CZ" w:eastAsia="cs-CZ"/>
        </w:rPr>
        <w:t>2. Dokud kupující neobdrží písemné potvrzení objednávky prodávajícím, je kupující oprávněn objednávku bez nároku prodávajícího na náhradu jakékoliv škody odvolat, a to písemně, e-mailem nebo i telefonicky s dodatečným písemným (e-mailem) potvrzením tohoto odvolání.</w:t>
      </w:r>
    </w:p>
    <w:p w14:paraId="4260C963" w14:textId="76EBF4D0" w:rsidR="00D81E2A" w:rsidRPr="00454560" w:rsidRDefault="009A2913" w:rsidP="00631E48">
      <w:pPr>
        <w:ind w:right="120"/>
        <w:rPr>
          <w:rFonts w:ascii="Dax Offc Pro Light" w:eastAsia="Times New Roman" w:hAnsi="Dax Offc Pro Light"/>
          <w:b/>
          <w:bCs/>
          <w:color w:val="545454"/>
          <w:szCs w:val="20"/>
          <w:lang w:val="cs-CZ" w:eastAsia="cs-CZ"/>
        </w:rPr>
      </w:pPr>
      <w:r w:rsidRPr="00454560">
        <w:rPr>
          <w:rFonts w:ascii="Dax Offc Pro Light" w:eastAsia="Times New Roman" w:hAnsi="Dax Offc Pro Light"/>
          <w:b/>
          <w:bCs/>
          <w:color w:val="545454"/>
          <w:szCs w:val="20"/>
          <w:lang w:val="cs-CZ" w:eastAsia="cs-CZ"/>
        </w:rPr>
        <w:t>III. Dodání a uvedení do provozu</w:t>
      </w:r>
      <w:r w:rsidR="003B5A2B">
        <w:rPr>
          <w:rFonts w:ascii="Dax Offc Pro Light" w:eastAsia="Times New Roman" w:hAnsi="Dax Offc Pro Light"/>
          <w:b/>
          <w:bCs/>
          <w:color w:val="545454"/>
          <w:szCs w:val="20"/>
          <w:lang w:val="cs-CZ" w:eastAsia="cs-CZ"/>
        </w:rPr>
        <w:t>.</w:t>
      </w:r>
      <w:r w:rsidR="00D81E2A" w:rsidRPr="00454560">
        <w:rPr>
          <w:rFonts w:ascii="Dax Offc Pro Light" w:eastAsia="Times New Roman" w:hAnsi="Dax Offc Pro Light"/>
          <w:b/>
          <w:bCs/>
          <w:color w:val="545454"/>
          <w:szCs w:val="20"/>
          <w:lang w:val="cs-CZ" w:eastAsia="cs-CZ"/>
        </w:rPr>
        <w:t xml:space="preserve"> </w:t>
      </w:r>
    </w:p>
    <w:p w14:paraId="47A2DAC2" w14:textId="749B8C86" w:rsidR="00D81E2A" w:rsidRPr="00454560" w:rsidRDefault="00D81E2A" w:rsidP="00631E48">
      <w:pPr>
        <w:ind w:right="120"/>
        <w:rPr>
          <w:rFonts w:ascii="Dax Offc Pro Light" w:eastAsia="Times New Roman" w:hAnsi="Dax Offc Pro Light"/>
          <w:color w:val="545454"/>
          <w:szCs w:val="20"/>
          <w:lang w:val="cs-CZ" w:eastAsia="cs-CZ"/>
        </w:rPr>
      </w:pPr>
      <w:r w:rsidRPr="00454560">
        <w:rPr>
          <w:rFonts w:ascii="Dax Offc Pro Light" w:eastAsia="Times New Roman" w:hAnsi="Dax Offc Pro Light"/>
          <w:color w:val="545454"/>
          <w:szCs w:val="20"/>
          <w:lang w:val="cs-CZ" w:eastAsia="cs-CZ"/>
        </w:rPr>
        <w:t>1.</w:t>
      </w:r>
      <w:r w:rsidRPr="00454560">
        <w:rPr>
          <w:rFonts w:ascii="Dax Offc Pro Light" w:eastAsia="Times New Roman" w:hAnsi="Dax Offc Pro Light"/>
          <w:b/>
          <w:bCs/>
          <w:color w:val="545454"/>
          <w:szCs w:val="20"/>
          <w:lang w:val="cs-CZ" w:eastAsia="cs-CZ"/>
        </w:rPr>
        <w:t xml:space="preserve"> </w:t>
      </w:r>
      <w:r w:rsidRPr="00454560">
        <w:rPr>
          <w:rFonts w:ascii="Dax Offc Pro Light" w:eastAsia="Times New Roman" w:hAnsi="Dax Offc Pro Light"/>
          <w:color w:val="545454"/>
          <w:szCs w:val="20"/>
          <w:lang w:val="cs-CZ" w:eastAsia="cs-CZ"/>
        </w:rPr>
        <w:t>Dodací lhůta je stanovena v objednávce jako předběžná</w:t>
      </w:r>
      <w:r w:rsidR="00E03802">
        <w:rPr>
          <w:rFonts w:ascii="Dax Offc Pro Light" w:eastAsia="Times New Roman" w:hAnsi="Dax Offc Pro Light"/>
          <w:color w:val="545454"/>
          <w:szCs w:val="20"/>
          <w:lang w:val="cs-CZ" w:eastAsia="cs-CZ"/>
        </w:rPr>
        <w:t>.</w:t>
      </w:r>
    </w:p>
    <w:p w14:paraId="24E599D1" w14:textId="610C4D49" w:rsidR="001D4F3E" w:rsidRPr="006A5C0D" w:rsidRDefault="00D81E2A" w:rsidP="00631E48">
      <w:pPr>
        <w:ind w:right="120"/>
        <w:rPr>
          <w:rFonts w:ascii="Dax Offc Pro Light" w:eastAsia="Times New Roman" w:hAnsi="Dax Offc Pro Light"/>
          <w:color w:val="545454"/>
          <w:szCs w:val="20"/>
          <w:lang w:val="cs-CZ" w:eastAsia="cs-CZ"/>
        </w:rPr>
      </w:pPr>
      <w:r w:rsidRPr="006A5C0D">
        <w:rPr>
          <w:rFonts w:ascii="Dax Offc Pro Light" w:eastAsia="Times New Roman" w:hAnsi="Dax Offc Pro Light"/>
          <w:color w:val="545454"/>
          <w:szCs w:val="20"/>
          <w:lang w:val="cs-CZ" w:eastAsia="cs-CZ"/>
        </w:rPr>
        <w:t xml:space="preserve">2. Termín dodací lhůty vychází z aktuálních informací z výrobního závodu a může se měnit. Změna bude závazně potvrzena po zadání do výroby na základě potvrzení o termínu dodání ze strany výrobce.     </w:t>
      </w:r>
    </w:p>
    <w:p w14:paraId="3751A3BB" w14:textId="2FFDE620" w:rsidR="00E03802" w:rsidRPr="006A5C0D" w:rsidRDefault="001D4F3E" w:rsidP="00631E48">
      <w:pPr>
        <w:ind w:right="120"/>
        <w:rPr>
          <w:rFonts w:ascii="Dax Offc Pro Light" w:eastAsia="Times New Roman" w:hAnsi="Dax Offc Pro Light"/>
          <w:color w:val="545454"/>
          <w:szCs w:val="20"/>
          <w:lang w:val="cs-CZ" w:eastAsia="cs-CZ"/>
        </w:rPr>
      </w:pPr>
      <w:r w:rsidRPr="006A5C0D">
        <w:rPr>
          <w:rFonts w:ascii="Dax Offc Pro Light" w:eastAsia="Times New Roman" w:hAnsi="Dax Offc Pro Light"/>
          <w:color w:val="545454"/>
          <w:szCs w:val="20"/>
          <w:lang w:val="cs-CZ" w:eastAsia="cs-CZ"/>
        </w:rPr>
        <w:t xml:space="preserve">3. </w:t>
      </w:r>
      <w:r w:rsidR="009A2913" w:rsidRPr="006A5C0D">
        <w:rPr>
          <w:rFonts w:ascii="Dax Offc Pro Light" w:eastAsia="Times New Roman" w:hAnsi="Dax Offc Pro Light"/>
          <w:color w:val="545454"/>
          <w:szCs w:val="20"/>
          <w:lang w:val="cs-CZ" w:eastAsia="cs-CZ"/>
        </w:rPr>
        <w:t>Prodávající odpovídá za to, že zboží bude v době přechodu nebezpečí škody na kupujícího bez vad a že po dobu trvání záruční doby, pokud byla záruka</w:t>
      </w:r>
      <w:r w:rsidR="004465A9" w:rsidRPr="006A5C0D">
        <w:rPr>
          <w:rFonts w:ascii="Dax Offc Pro Light" w:eastAsia="Times New Roman" w:hAnsi="Dax Offc Pro Light"/>
          <w:color w:val="545454"/>
          <w:szCs w:val="20"/>
          <w:lang w:val="cs-CZ" w:eastAsia="cs-CZ"/>
        </w:rPr>
        <w:t xml:space="preserve"> sjednána</w:t>
      </w:r>
      <w:r w:rsidR="009A2913" w:rsidRPr="006A5C0D">
        <w:rPr>
          <w:rFonts w:ascii="Dax Offc Pro Light" w:eastAsia="Times New Roman" w:hAnsi="Dax Offc Pro Light"/>
          <w:color w:val="545454"/>
          <w:szCs w:val="20"/>
          <w:lang w:val="cs-CZ" w:eastAsia="cs-CZ"/>
        </w:rPr>
        <w:t>, bude zboží za dále stanovených podmínek způsobilé k použití pro obvyklý účel a že si zachová obvyklé vlastnosti</w:t>
      </w:r>
      <w:r w:rsidR="00DA44EA" w:rsidRPr="006A5C0D">
        <w:rPr>
          <w:rFonts w:ascii="Dax Offc Pro Light" w:eastAsia="Times New Roman" w:hAnsi="Dax Offc Pro Light"/>
          <w:color w:val="545454"/>
          <w:szCs w:val="20"/>
          <w:lang w:val="cs-CZ" w:eastAsia="cs-CZ"/>
        </w:rPr>
        <w:t>.</w:t>
      </w:r>
    </w:p>
    <w:p w14:paraId="3815982D" w14:textId="0E6AEEA3" w:rsidR="00221210" w:rsidRPr="00454560" w:rsidRDefault="00756064" w:rsidP="00631E48">
      <w:pPr>
        <w:pStyle w:val="Odstavecseseznamem"/>
        <w:ind w:left="0" w:right="120"/>
        <w:rPr>
          <w:rFonts w:ascii="Dax Offc Pro Light" w:eastAsia="Times New Roman" w:hAnsi="Dax Offc Pro Light"/>
          <w:color w:val="545454"/>
          <w:szCs w:val="20"/>
          <w:lang w:val="cs-CZ" w:eastAsia="cs-CZ"/>
        </w:rPr>
      </w:pPr>
      <w:r w:rsidRPr="00454560">
        <w:rPr>
          <w:rFonts w:ascii="Dax Offc Pro Light" w:eastAsia="Times New Roman" w:hAnsi="Dax Offc Pro Light"/>
          <w:color w:val="545454"/>
          <w:szCs w:val="20"/>
          <w:lang w:val="cs-CZ" w:eastAsia="cs-CZ"/>
        </w:rPr>
        <w:t xml:space="preserve">4. </w:t>
      </w:r>
      <w:r w:rsidR="00221210" w:rsidRPr="00454560">
        <w:rPr>
          <w:rFonts w:ascii="Dax Offc Pro Light" w:eastAsia="Times New Roman" w:hAnsi="Dax Offc Pro Light"/>
          <w:color w:val="545454"/>
          <w:szCs w:val="20"/>
          <w:lang w:val="cs-CZ" w:eastAsia="cs-CZ"/>
        </w:rPr>
        <w:t>Kupující je povinen s náležitou odbornou péčí provést kontrolu (prohlédnout) zboží ihned při jeho převzetí. Vady, které nemohly být zjištěny při převzetí zboží, je kupující povinen písemně oznámit prodávajícímu nejpozději do 3 pracovních dnů od okamžiku, kdy tyto vady kupující zjistil nebo zjistit mohl při dostatečné péči (podle toho, co nastane dříve), nejpozději však v záruční době, jinak nároky kupujícího z odpovědnosti za tyto vady zanikají.</w:t>
      </w:r>
    </w:p>
    <w:p w14:paraId="5D0D3E14" w14:textId="51252D5F" w:rsidR="00011D50" w:rsidRPr="00454560" w:rsidRDefault="00756064" w:rsidP="00631E48">
      <w:pPr>
        <w:ind w:right="120"/>
        <w:rPr>
          <w:rFonts w:ascii="Dax Offc Pro Light" w:eastAsia="Times New Roman" w:hAnsi="Dax Offc Pro Light"/>
          <w:color w:val="545454"/>
          <w:szCs w:val="20"/>
          <w:lang w:val="cs-CZ" w:eastAsia="cs-CZ"/>
        </w:rPr>
      </w:pPr>
      <w:r w:rsidRPr="00454560">
        <w:rPr>
          <w:rFonts w:ascii="Dax Offc Pro Light" w:eastAsia="Times New Roman" w:hAnsi="Dax Offc Pro Light"/>
          <w:color w:val="545454"/>
          <w:szCs w:val="20"/>
          <w:lang w:val="cs-CZ" w:eastAsia="cs-CZ"/>
        </w:rPr>
        <w:t>5</w:t>
      </w:r>
      <w:r w:rsidR="00221210" w:rsidRPr="00454560">
        <w:rPr>
          <w:rFonts w:ascii="Dax Offc Pro Light" w:eastAsia="Times New Roman" w:hAnsi="Dax Offc Pro Light"/>
          <w:color w:val="545454"/>
          <w:szCs w:val="20"/>
          <w:lang w:val="cs-CZ" w:eastAsia="cs-CZ"/>
        </w:rPr>
        <w:t>.</w:t>
      </w:r>
      <w:r w:rsidRPr="00454560">
        <w:rPr>
          <w:rFonts w:ascii="Dax Offc Pro Light" w:eastAsia="Times New Roman" w:hAnsi="Dax Offc Pro Light"/>
          <w:color w:val="545454"/>
          <w:szCs w:val="20"/>
          <w:lang w:val="cs-CZ" w:eastAsia="cs-CZ"/>
        </w:rPr>
        <w:t xml:space="preserve"> </w:t>
      </w:r>
      <w:r w:rsidR="00221210" w:rsidRPr="00454560">
        <w:rPr>
          <w:rFonts w:ascii="Dax Offc Pro Light" w:eastAsia="Times New Roman" w:hAnsi="Dax Offc Pro Light"/>
          <w:color w:val="545454"/>
          <w:szCs w:val="20"/>
          <w:lang w:val="cs-CZ" w:eastAsia="cs-CZ"/>
        </w:rPr>
        <w:t xml:space="preserve">Prodávající je oprávněn dodat zboží a kupující je povinen zboží převzít před sjednanou dobou dodání. Prodávající je dále oprávněn dodat a kupující je povinen převzít i částečné plnění </w:t>
      </w:r>
      <w:r w:rsidR="00221210" w:rsidRPr="00454560">
        <w:rPr>
          <w:rFonts w:ascii="Dax Offc Pro Light" w:eastAsia="Times New Roman" w:hAnsi="Dax Offc Pro Light"/>
          <w:szCs w:val="20"/>
          <w:lang w:val="cs-CZ" w:eastAsia="cs-CZ"/>
        </w:rPr>
        <w:t>(</w:t>
      </w:r>
      <w:hyperlink r:id="rId7" w:history="1">
        <w:r w:rsidR="00221210" w:rsidRPr="00454560">
          <w:rPr>
            <w:rStyle w:val="Hypertextovodkaz"/>
            <w:rFonts w:ascii="Dax Offc Pro Light" w:eastAsia="Times New Roman" w:hAnsi="Dax Offc Pro Light"/>
            <w:color w:val="auto"/>
            <w:szCs w:val="20"/>
            <w:u w:val="none"/>
            <w:lang w:val="cs-CZ" w:eastAsia="cs-CZ"/>
          </w:rPr>
          <w:t>částečným</w:t>
        </w:r>
      </w:hyperlink>
      <w:r w:rsidR="00221210" w:rsidRPr="00454560">
        <w:rPr>
          <w:rFonts w:ascii="Dax Offc Pro Light" w:eastAsia="Times New Roman" w:hAnsi="Dax Offc Pro Light"/>
          <w:color w:val="545454"/>
          <w:szCs w:val="20"/>
          <w:lang w:val="cs-CZ" w:eastAsia="cs-CZ"/>
        </w:rPr>
        <w:t xml:space="preserve"> plněním</w:t>
      </w:r>
      <w:r w:rsidR="00DA44EA" w:rsidRPr="00454560">
        <w:rPr>
          <w:rFonts w:ascii="Dax Offc Pro Light" w:eastAsia="Times New Roman" w:hAnsi="Dax Offc Pro Light"/>
          <w:color w:val="545454"/>
          <w:szCs w:val="20"/>
          <w:lang w:val="cs-CZ" w:eastAsia="cs-CZ"/>
        </w:rPr>
        <w:t xml:space="preserve"> se rozumí dodávka alespoň jednoho stroje). Drobné vady, nebránící řádnému užívání nejsou důvodem k nepřevzetí zboží. Tyto vady poznamená kupující do předávacího protokolu a prodávající proveden všechna opatření k jejich urychlenému odstranění.</w:t>
      </w:r>
    </w:p>
    <w:p w14:paraId="239830CA" w14:textId="6D134549" w:rsidR="00011D50" w:rsidRPr="00454560" w:rsidRDefault="00756064" w:rsidP="00631E48">
      <w:pPr>
        <w:ind w:right="120"/>
        <w:rPr>
          <w:rFonts w:ascii="Dax Offc Pro Light" w:eastAsia="Times New Roman" w:hAnsi="Dax Offc Pro Light"/>
          <w:color w:val="545454"/>
          <w:szCs w:val="20"/>
          <w:lang w:val="cs-CZ" w:eastAsia="cs-CZ"/>
        </w:rPr>
      </w:pPr>
      <w:r w:rsidRPr="00454560">
        <w:rPr>
          <w:rFonts w:ascii="Dax Offc Pro Light" w:eastAsia="Times New Roman" w:hAnsi="Dax Offc Pro Light"/>
          <w:color w:val="545454"/>
          <w:szCs w:val="20"/>
          <w:lang w:val="cs-CZ" w:eastAsia="cs-CZ"/>
        </w:rPr>
        <w:t xml:space="preserve">6. </w:t>
      </w:r>
      <w:r w:rsidR="00011D50" w:rsidRPr="00454560">
        <w:rPr>
          <w:rFonts w:ascii="Dax Offc Pro Light" w:eastAsia="Times New Roman" w:hAnsi="Dax Offc Pro Light"/>
          <w:color w:val="545454"/>
          <w:szCs w:val="20"/>
          <w:lang w:val="cs-CZ" w:eastAsia="cs-CZ"/>
        </w:rPr>
        <w:t>Prodávající je povinen dodat zboží včetně veškerých dokladů potřebných pro převzetí a užívání zboží a na své náklady uvést podle požadavku kupujícího zboží do provozu a zaškolit obsluhu zboží.</w:t>
      </w:r>
    </w:p>
    <w:p w14:paraId="351D3B9D" w14:textId="56A74952" w:rsidR="006A41E6" w:rsidRPr="00454560" w:rsidRDefault="00756064" w:rsidP="00631E48">
      <w:pPr>
        <w:ind w:right="120"/>
        <w:rPr>
          <w:rFonts w:ascii="Dax Offc Pro Light" w:eastAsia="Times New Roman" w:hAnsi="Dax Offc Pro Light"/>
          <w:color w:val="545454"/>
          <w:szCs w:val="20"/>
          <w:lang w:val="cs-CZ" w:eastAsia="cs-CZ"/>
        </w:rPr>
      </w:pPr>
      <w:r w:rsidRPr="00454560">
        <w:rPr>
          <w:rFonts w:ascii="Dax Offc Pro Light" w:eastAsia="Times New Roman" w:hAnsi="Dax Offc Pro Light"/>
          <w:color w:val="545454"/>
          <w:szCs w:val="20"/>
          <w:lang w:val="cs-CZ" w:eastAsia="cs-CZ"/>
        </w:rPr>
        <w:t>7</w:t>
      </w:r>
      <w:r w:rsidR="006A41E6" w:rsidRPr="00454560">
        <w:rPr>
          <w:rFonts w:ascii="Dax Offc Pro Light" w:eastAsia="Times New Roman" w:hAnsi="Dax Offc Pro Light"/>
          <w:color w:val="545454"/>
          <w:szCs w:val="20"/>
          <w:lang w:val="cs-CZ" w:eastAsia="cs-CZ"/>
        </w:rPr>
        <w:t>. Prodávající je povinen zboží dodat na své náklady do místa uvedeného v objednávce s odpovídajícím dodacím listem, jinak na adresu sídla kupujícího. Náklady spojené s vracením vratných obalů nese prodávající.</w:t>
      </w:r>
    </w:p>
    <w:p w14:paraId="2AB4C3F7" w14:textId="6FB51EFB" w:rsidR="006A41E6" w:rsidRPr="00454560" w:rsidRDefault="00756064" w:rsidP="00631E48">
      <w:pPr>
        <w:ind w:right="120"/>
        <w:rPr>
          <w:rFonts w:ascii="Dax Offc Pro Light" w:eastAsia="Times New Roman" w:hAnsi="Dax Offc Pro Light"/>
          <w:color w:val="545454"/>
          <w:szCs w:val="20"/>
          <w:lang w:val="cs-CZ" w:eastAsia="cs-CZ"/>
        </w:rPr>
      </w:pPr>
      <w:r w:rsidRPr="00454560">
        <w:rPr>
          <w:rFonts w:ascii="Dax Offc Pro Light" w:eastAsia="Times New Roman" w:hAnsi="Dax Offc Pro Light"/>
          <w:color w:val="545454"/>
          <w:szCs w:val="20"/>
          <w:lang w:val="cs-CZ" w:eastAsia="cs-CZ"/>
        </w:rPr>
        <w:t>8</w:t>
      </w:r>
      <w:r w:rsidR="006A41E6" w:rsidRPr="00454560">
        <w:rPr>
          <w:rFonts w:ascii="Dax Offc Pro Light" w:eastAsia="Times New Roman" w:hAnsi="Dax Offc Pro Light"/>
          <w:color w:val="545454"/>
          <w:szCs w:val="20"/>
          <w:lang w:val="cs-CZ" w:eastAsia="cs-CZ"/>
        </w:rPr>
        <w:t>. Nebezpečí škody na zboží a vlastnické právo ke zboží přechází na kupujícího převzetím zboží kupujícím.</w:t>
      </w:r>
      <w:r w:rsidR="000B3298">
        <w:rPr>
          <w:rFonts w:ascii="Dax Offc Pro Light" w:eastAsia="Times New Roman" w:hAnsi="Dax Offc Pro Light"/>
          <w:color w:val="545454"/>
          <w:szCs w:val="20"/>
          <w:lang w:val="cs-CZ" w:eastAsia="cs-CZ"/>
        </w:rPr>
        <w:t xml:space="preserve"> Škoda na zboží, jež vznikla po přechodu nebezpečí na kupujícího, nemá vliv na povinnost kupujícího zaplatit kupní cenu.</w:t>
      </w:r>
    </w:p>
    <w:p w14:paraId="7BDE5B0E" w14:textId="7C9E5598" w:rsidR="00377C8D" w:rsidRDefault="00756064" w:rsidP="00377C8D">
      <w:pPr>
        <w:contextualSpacing/>
        <w:jc w:val="both"/>
        <w:rPr>
          <w:rFonts w:ascii="Calibri" w:hAnsi="Calibri" w:cs="Calibri"/>
        </w:rPr>
      </w:pPr>
      <w:r w:rsidRPr="006A5C0D">
        <w:rPr>
          <w:rFonts w:ascii="Dax Offc Pro Light" w:eastAsia="Times New Roman" w:hAnsi="Dax Offc Pro Light"/>
          <w:color w:val="545454"/>
          <w:szCs w:val="20"/>
          <w:lang w:val="cs-CZ" w:eastAsia="cs-CZ"/>
        </w:rPr>
        <w:t>9</w:t>
      </w:r>
      <w:r w:rsidR="006A41E6" w:rsidRPr="006A5C0D">
        <w:rPr>
          <w:rFonts w:ascii="Dax Offc Pro Light" w:eastAsia="Times New Roman" w:hAnsi="Dax Offc Pro Light"/>
          <w:color w:val="545454"/>
          <w:szCs w:val="20"/>
          <w:lang w:val="cs-CZ" w:eastAsia="cs-CZ"/>
        </w:rPr>
        <w:t xml:space="preserve">. V případě prodlení s dodáním zboží nebo jeho části delším než 15 dnů, a takové prodlení je způsobeno prokazatelně zaviněním prodávajícího, má kupující od 16. dne prodlení vůči prodávajícímu nárok na smluvní pokutu ve výši </w:t>
      </w:r>
      <w:proofErr w:type="gramStart"/>
      <w:r w:rsidR="006A41E6" w:rsidRPr="006A5C0D">
        <w:rPr>
          <w:rFonts w:ascii="Dax Offc Pro Light" w:eastAsia="Times New Roman" w:hAnsi="Dax Offc Pro Light"/>
          <w:color w:val="545454"/>
          <w:szCs w:val="20"/>
          <w:lang w:val="cs-CZ" w:eastAsia="cs-CZ"/>
        </w:rPr>
        <w:t>0,05%</w:t>
      </w:r>
      <w:proofErr w:type="gramEnd"/>
      <w:r w:rsidR="006A41E6" w:rsidRPr="006A5C0D">
        <w:rPr>
          <w:rFonts w:ascii="Dax Offc Pro Light" w:eastAsia="Times New Roman" w:hAnsi="Dax Offc Pro Light"/>
          <w:color w:val="545454"/>
          <w:szCs w:val="20"/>
          <w:lang w:val="cs-CZ" w:eastAsia="cs-CZ"/>
        </w:rPr>
        <w:t xml:space="preserve"> za každý den prodlení z hodnoty dodávky nebo její části, se kterou je prodávající v prodlení, maximálně však do částky odpovídající 2% z hodnoty dodávky nebo její části, se kterou je prodávající v prodlení.</w:t>
      </w:r>
      <w:r w:rsidR="00377C8D" w:rsidRPr="00377C8D">
        <w:rPr>
          <w:rFonts w:ascii="Calibri" w:hAnsi="Calibri" w:cs="Calibri"/>
        </w:rPr>
        <w:t xml:space="preserve"> </w:t>
      </w:r>
      <w:r w:rsidR="00377C8D">
        <w:rPr>
          <w:rFonts w:ascii="Calibri" w:hAnsi="Calibri" w:cs="Calibri"/>
        </w:rPr>
        <w:t>V </w:t>
      </w:r>
      <w:proofErr w:type="spellStart"/>
      <w:r w:rsidR="00377C8D">
        <w:rPr>
          <w:rFonts w:ascii="Calibri" w:hAnsi="Calibri" w:cs="Calibri"/>
        </w:rPr>
        <w:t>případě</w:t>
      </w:r>
      <w:proofErr w:type="spellEnd"/>
      <w:r w:rsidR="00377C8D">
        <w:rPr>
          <w:rFonts w:ascii="Calibri" w:hAnsi="Calibri" w:cs="Calibri"/>
        </w:rPr>
        <w:t xml:space="preserve"> </w:t>
      </w:r>
      <w:proofErr w:type="spellStart"/>
      <w:r w:rsidR="00377C8D">
        <w:rPr>
          <w:rFonts w:ascii="Calibri" w:hAnsi="Calibri" w:cs="Calibri"/>
        </w:rPr>
        <w:t>dodání</w:t>
      </w:r>
      <w:proofErr w:type="spellEnd"/>
      <w:r w:rsidR="00377C8D">
        <w:rPr>
          <w:rFonts w:ascii="Calibri" w:hAnsi="Calibri" w:cs="Calibri"/>
        </w:rPr>
        <w:t xml:space="preserve"> </w:t>
      </w:r>
      <w:proofErr w:type="spellStart"/>
      <w:r w:rsidR="00377C8D">
        <w:rPr>
          <w:rFonts w:ascii="Calibri" w:hAnsi="Calibri" w:cs="Calibri"/>
        </w:rPr>
        <w:t>náhradního</w:t>
      </w:r>
      <w:proofErr w:type="spellEnd"/>
      <w:r w:rsidR="00377C8D">
        <w:rPr>
          <w:rFonts w:ascii="Calibri" w:hAnsi="Calibri" w:cs="Calibri"/>
        </w:rPr>
        <w:t xml:space="preserve"> </w:t>
      </w:r>
      <w:proofErr w:type="spellStart"/>
      <w:r w:rsidR="00377C8D">
        <w:rPr>
          <w:rFonts w:ascii="Calibri" w:hAnsi="Calibri" w:cs="Calibri"/>
        </w:rPr>
        <w:t>zboží</w:t>
      </w:r>
      <w:proofErr w:type="spellEnd"/>
      <w:r w:rsidR="00377C8D">
        <w:rPr>
          <w:rFonts w:ascii="Calibri" w:hAnsi="Calibri" w:cs="Calibri"/>
        </w:rPr>
        <w:t xml:space="preserve"> </w:t>
      </w:r>
      <w:proofErr w:type="spellStart"/>
      <w:r w:rsidR="00377C8D">
        <w:rPr>
          <w:rFonts w:ascii="Calibri" w:hAnsi="Calibri" w:cs="Calibri"/>
        </w:rPr>
        <w:t>nebude</w:t>
      </w:r>
      <w:proofErr w:type="spellEnd"/>
      <w:r w:rsidR="00377C8D">
        <w:rPr>
          <w:rFonts w:ascii="Calibri" w:hAnsi="Calibri" w:cs="Calibri"/>
        </w:rPr>
        <w:t xml:space="preserve"> </w:t>
      </w:r>
      <w:proofErr w:type="spellStart"/>
      <w:r w:rsidR="00377C8D">
        <w:rPr>
          <w:rFonts w:ascii="Calibri" w:hAnsi="Calibri" w:cs="Calibri"/>
        </w:rPr>
        <w:t>smluvní</w:t>
      </w:r>
      <w:proofErr w:type="spellEnd"/>
      <w:r w:rsidR="00377C8D">
        <w:rPr>
          <w:rFonts w:ascii="Calibri" w:hAnsi="Calibri" w:cs="Calibri"/>
        </w:rPr>
        <w:t xml:space="preserve"> </w:t>
      </w:r>
      <w:proofErr w:type="spellStart"/>
      <w:r w:rsidR="00377C8D">
        <w:rPr>
          <w:rFonts w:ascii="Calibri" w:hAnsi="Calibri" w:cs="Calibri"/>
        </w:rPr>
        <w:t>pokuta</w:t>
      </w:r>
      <w:proofErr w:type="spellEnd"/>
      <w:r w:rsidR="00377C8D">
        <w:rPr>
          <w:rFonts w:ascii="Calibri" w:hAnsi="Calibri" w:cs="Calibri"/>
        </w:rPr>
        <w:t xml:space="preserve"> </w:t>
      </w:r>
      <w:proofErr w:type="spellStart"/>
      <w:r w:rsidR="00377C8D">
        <w:rPr>
          <w:rFonts w:ascii="Calibri" w:hAnsi="Calibri" w:cs="Calibri"/>
        </w:rPr>
        <w:t>kupujícím</w:t>
      </w:r>
      <w:proofErr w:type="spellEnd"/>
      <w:r w:rsidR="00377C8D">
        <w:rPr>
          <w:rFonts w:ascii="Calibri" w:hAnsi="Calibri" w:cs="Calibri"/>
        </w:rPr>
        <w:t xml:space="preserve"> </w:t>
      </w:r>
      <w:proofErr w:type="spellStart"/>
      <w:r w:rsidR="00377C8D">
        <w:rPr>
          <w:rFonts w:ascii="Calibri" w:hAnsi="Calibri" w:cs="Calibri"/>
        </w:rPr>
        <w:t>požadována</w:t>
      </w:r>
      <w:proofErr w:type="spellEnd"/>
      <w:r w:rsidR="00377C8D">
        <w:rPr>
          <w:rFonts w:ascii="Calibri" w:hAnsi="Calibri" w:cs="Calibri"/>
        </w:rPr>
        <w:t>.</w:t>
      </w:r>
    </w:p>
    <w:p w14:paraId="7CA26618" w14:textId="1C58255E" w:rsidR="00C016E3" w:rsidRPr="006A5C0D" w:rsidRDefault="00C016E3" w:rsidP="00631E48">
      <w:pPr>
        <w:ind w:right="120"/>
        <w:rPr>
          <w:rFonts w:ascii="Dax Offc Pro Light" w:eastAsia="Times New Roman" w:hAnsi="Dax Offc Pro Light"/>
          <w:color w:val="545454"/>
          <w:szCs w:val="20"/>
          <w:lang w:val="cs-CZ" w:eastAsia="cs-CZ"/>
        </w:rPr>
      </w:pPr>
    </w:p>
    <w:p w14:paraId="24298EC5" w14:textId="0F740447" w:rsidR="001D4F3E" w:rsidRPr="00454560" w:rsidRDefault="006A41E6" w:rsidP="00631E48">
      <w:pPr>
        <w:ind w:right="120"/>
        <w:contextualSpacing/>
        <w:rPr>
          <w:rFonts w:ascii="Dax Offc Pro Light" w:eastAsia="Times New Roman" w:hAnsi="Dax Offc Pro Light"/>
          <w:color w:val="545454"/>
          <w:szCs w:val="20"/>
          <w:lang w:val="cs-CZ" w:eastAsia="cs-CZ"/>
        </w:rPr>
      </w:pPr>
      <w:r w:rsidRPr="00454560">
        <w:rPr>
          <w:rFonts w:ascii="Dax Offc Pro Light" w:eastAsia="Times New Roman" w:hAnsi="Dax Offc Pro Light"/>
          <w:b/>
          <w:bCs/>
          <w:color w:val="545454"/>
          <w:szCs w:val="20"/>
          <w:lang w:val="cs-CZ" w:eastAsia="cs-CZ"/>
        </w:rPr>
        <w:t>IV</w:t>
      </w:r>
      <w:r w:rsidR="008962E8">
        <w:rPr>
          <w:rFonts w:ascii="Dax Offc Pro Light" w:eastAsia="Times New Roman" w:hAnsi="Dax Offc Pro Light"/>
          <w:b/>
          <w:bCs/>
          <w:color w:val="545454"/>
          <w:szCs w:val="20"/>
          <w:lang w:val="cs-CZ" w:eastAsia="cs-CZ"/>
        </w:rPr>
        <w:t xml:space="preserve">. </w:t>
      </w:r>
      <w:r w:rsidRPr="00454560">
        <w:rPr>
          <w:rFonts w:ascii="Dax Offc Pro Light" w:eastAsia="Times New Roman" w:hAnsi="Dax Offc Pro Light"/>
          <w:b/>
          <w:bCs/>
          <w:color w:val="545454"/>
          <w:szCs w:val="20"/>
          <w:lang w:val="cs-CZ" w:eastAsia="cs-CZ"/>
        </w:rPr>
        <w:t>Cena a její úhrada</w:t>
      </w:r>
    </w:p>
    <w:p w14:paraId="6CA1182B" w14:textId="3C877EA6" w:rsidR="00756064" w:rsidRPr="00454560" w:rsidRDefault="00756064" w:rsidP="00631E48">
      <w:pPr>
        <w:pStyle w:val="Odstavecseseznamem"/>
        <w:numPr>
          <w:ilvl w:val="0"/>
          <w:numId w:val="16"/>
        </w:numPr>
        <w:ind w:left="284" w:right="120" w:hanging="284"/>
        <w:rPr>
          <w:rFonts w:ascii="Dax Offc Pro Light" w:hAnsi="Dax Offc Pro Light"/>
          <w:lang w:val="cs-CZ" w:eastAsia="cs-CZ"/>
        </w:rPr>
      </w:pPr>
      <w:r w:rsidRPr="00454560">
        <w:rPr>
          <w:rFonts w:ascii="Dax Offc Pro Light" w:hAnsi="Dax Offc Pro Light"/>
          <w:lang w:val="cs-CZ" w:eastAsia="cs-CZ"/>
        </w:rPr>
        <w:t xml:space="preserve">Není-li v objednávce </w:t>
      </w:r>
      <w:r w:rsidR="00C016E3" w:rsidRPr="00454560">
        <w:rPr>
          <w:rFonts w:ascii="Dax Offc Pro Light" w:hAnsi="Dax Offc Pro Light"/>
          <w:lang w:val="cs-CZ" w:eastAsia="cs-CZ"/>
        </w:rPr>
        <w:t>sje</w:t>
      </w:r>
      <w:r w:rsidR="00E03802" w:rsidRPr="00454560">
        <w:rPr>
          <w:rFonts w:ascii="Dax Offc Pro Light" w:hAnsi="Dax Offc Pro Light"/>
          <w:lang w:val="cs-CZ" w:eastAsia="cs-CZ"/>
        </w:rPr>
        <w:t>d</w:t>
      </w:r>
      <w:r w:rsidR="00C016E3" w:rsidRPr="00454560">
        <w:rPr>
          <w:rFonts w:ascii="Dax Offc Pro Light" w:hAnsi="Dax Offc Pro Light"/>
          <w:lang w:val="cs-CZ" w:eastAsia="cs-CZ"/>
        </w:rPr>
        <w:t>náno</w:t>
      </w:r>
      <w:r w:rsidRPr="00454560">
        <w:rPr>
          <w:rFonts w:ascii="Dax Offc Pro Light" w:hAnsi="Dax Offc Pro Light"/>
          <w:lang w:val="cs-CZ" w:eastAsia="cs-CZ"/>
        </w:rPr>
        <w:t xml:space="preserve"> jinak, platí, že kupující je povinen uhradit kupní cenu prodávajícímu</w:t>
      </w:r>
      <w:r w:rsidR="001D4F3E" w:rsidRPr="00454560">
        <w:rPr>
          <w:rFonts w:ascii="Dax Offc Pro Light" w:hAnsi="Dax Offc Pro Light"/>
          <w:lang w:val="cs-CZ" w:eastAsia="cs-CZ"/>
        </w:rPr>
        <w:t xml:space="preserve"> </w:t>
      </w:r>
      <w:r w:rsidRPr="00454560">
        <w:rPr>
          <w:rFonts w:ascii="Dax Offc Pro Light" w:hAnsi="Dax Offc Pro Light"/>
          <w:lang w:val="cs-CZ" w:eastAsia="cs-CZ"/>
        </w:rPr>
        <w:t>následujícím způsobem</w:t>
      </w:r>
      <w:r w:rsidR="00F03E3A">
        <w:rPr>
          <w:rFonts w:ascii="Dax Offc Pro Light" w:hAnsi="Dax Offc Pro Light"/>
          <w:lang w:val="cs-CZ" w:eastAsia="cs-CZ"/>
        </w:rPr>
        <w:t>:</w:t>
      </w:r>
    </w:p>
    <w:p w14:paraId="2A8DFEB7" w14:textId="299D81E5" w:rsidR="00756064" w:rsidRPr="00454560" w:rsidRDefault="00756064" w:rsidP="00631E48">
      <w:pPr>
        <w:pStyle w:val="Odstavecseseznamem"/>
        <w:numPr>
          <w:ilvl w:val="0"/>
          <w:numId w:val="7"/>
        </w:numPr>
        <w:spacing w:after="240"/>
        <w:ind w:left="284" w:right="120" w:hanging="284"/>
        <w:rPr>
          <w:rFonts w:ascii="Dax Offc Pro Light" w:eastAsia="Times New Roman" w:hAnsi="Dax Offc Pro Light"/>
          <w:color w:val="545454"/>
          <w:szCs w:val="20"/>
          <w:lang w:val="cs-CZ" w:eastAsia="cs-CZ"/>
        </w:rPr>
      </w:pPr>
      <w:r w:rsidRPr="00454560">
        <w:rPr>
          <w:rFonts w:ascii="Dax Offc Pro Light" w:eastAsia="Times New Roman" w:hAnsi="Dax Offc Pro Light"/>
          <w:color w:val="545454"/>
          <w:szCs w:val="20"/>
          <w:lang w:val="cs-CZ" w:eastAsia="cs-CZ"/>
        </w:rPr>
        <w:t>část kupní ceny formou zálohy ve výši 50% ceny zboží včetně DPH je kupující povinen uhradit nejpozději do 14 dnů od potvrzení objednávky prodávajícím</w:t>
      </w:r>
    </w:p>
    <w:p w14:paraId="1A8CFDB1" w14:textId="0375EF44" w:rsidR="00756064" w:rsidRPr="00454560" w:rsidRDefault="00756064" w:rsidP="00631E48">
      <w:pPr>
        <w:pStyle w:val="Odstavecseseznamem"/>
        <w:numPr>
          <w:ilvl w:val="0"/>
          <w:numId w:val="7"/>
        </w:numPr>
        <w:spacing w:after="240"/>
        <w:ind w:left="284" w:right="120" w:hanging="284"/>
        <w:rPr>
          <w:rFonts w:ascii="Dax Offc Pro Light" w:eastAsia="Times New Roman" w:hAnsi="Dax Offc Pro Light"/>
          <w:color w:val="545454"/>
          <w:szCs w:val="20"/>
          <w:lang w:val="cs-CZ" w:eastAsia="cs-CZ"/>
        </w:rPr>
      </w:pPr>
      <w:r w:rsidRPr="00454560">
        <w:rPr>
          <w:rFonts w:ascii="Dax Offc Pro Light" w:eastAsia="Times New Roman" w:hAnsi="Dax Offc Pro Light"/>
          <w:color w:val="545454"/>
          <w:szCs w:val="20"/>
          <w:lang w:val="cs-CZ" w:eastAsia="cs-CZ"/>
        </w:rPr>
        <w:t>část kuní ceny</w:t>
      </w:r>
      <w:r w:rsidR="00C016E3" w:rsidRPr="00454560">
        <w:rPr>
          <w:rFonts w:ascii="Dax Offc Pro Light" w:eastAsia="Times New Roman" w:hAnsi="Dax Offc Pro Light"/>
          <w:color w:val="545454"/>
          <w:szCs w:val="20"/>
          <w:lang w:val="cs-CZ" w:eastAsia="cs-CZ"/>
        </w:rPr>
        <w:t xml:space="preserve"> ve výši 50% celkové kupní ceny zboží včetně DPH je kupující povinen uhradit nejpozději do 14 dnů   od dodání zboží kupujícímu na základě oboustranně podepsaného předávacího protokolu</w:t>
      </w:r>
    </w:p>
    <w:p w14:paraId="0F51D0D8" w14:textId="05C9F828" w:rsidR="001D4F3E" w:rsidRPr="00454560" w:rsidRDefault="001D4F3E" w:rsidP="00631E48">
      <w:pPr>
        <w:pStyle w:val="Odstavecseseznamem"/>
        <w:spacing w:after="240"/>
        <w:ind w:left="0" w:right="120"/>
        <w:rPr>
          <w:rFonts w:ascii="Dax Offc Pro Light" w:eastAsia="Times New Roman" w:hAnsi="Dax Offc Pro Light"/>
          <w:color w:val="545454"/>
          <w:szCs w:val="20"/>
          <w:lang w:val="cs-CZ" w:eastAsia="cs-CZ"/>
        </w:rPr>
      </w:pPr>
      <w:r>
        <w:rPr>
          <w:rFonts w:ascii="Dax Offc Pro Light" w:hAnsi="Dax Offc Pro Light"/>
          <w:szCs w:val="20"/>
          <w:lang w:val="cs-CZ"/>
        </w:rPr>
        <w:t xml:space="preserve">2. </w:t>
      </w:r>
      <w:r w:rsidR="004465A9" w:rsidRPr="00454560">
        <w:rPr>
          <w:rFonts w:ascii="Dax Offc Pro Light" w:hAnsi="Dax Offc Pro Light"/>
          <w:szCs w:val="20"/>
          <w:lang w:val="cs-CZ"/>
        </w:rPr>
        <w:t>V případech aktuální dodací lhůty delší jak 4 měsíce se sjednává následující doložka o navýšení ceny:</w:t>
      </w:r>
      <w:r w:rsidR="004465A9" w:rsidRPr="00454560">
        <w:rPr>
          <w:rFonts w:ascii="Dax Offc Pro Light" w:hAnsi="Dax Offc Pro Light"/>
          <w:bCs/>
          <w:szCs w:val="20"/>
          <w:lang w:val="cs-CZ"/>
        </w:rPr>
        <w:t xml:space="preserve"> </w:t>
      </w:r>
      <w:r w:rsidR="004465A9" w:rsidRPr="00454560">
        <w:rPr>
          <w:rFonts w:ascii="Dax Offc Pro Light" w:hAnsi="Dax Offc Pro Light" w:cs="Tahoma"/>
          <w:szCs w:val="20"/>
          <w:lang w:val="cs-CZ"/>
        </w:rPr>
        <w:t>Prodávající má právo navýšit kupní cenu uvedenou v kupní smlouvě o míru nárůstu Indexu cen výrobců průmyslových výrobků (</w:t>
      </w:r>
      <w:proofErr w:type="spellStart"/>
      <w:r w:rsidR="004465A9" w:rsidRPr="00454560">
        <w:rPr>
          <w:rFonts w:ascii="Dax Offc Pro Light" w:hAnsi="Dax Offc Pro Light" w:cs="Tahoma"/>
          <w:i/>
          <w:iCs/>
          <w:szCs w:val="20"/>
          <w:lang w:val="cs-CZ"/>
        </w:rPr>
        <w:t>Erzeugerpreisindex</w:t>
      </w:r>
      <w:proofErr w:type="spellEnd"/>
      <w:r w:rsidR="004465A9" w:rsidRPr="00454560">
        <w:rPr>
          <w:rFonts w:ascii="Dax Offc Pro Light" w:hAnsi="Dax Offc Pro Light" w:cs="Tahoma"/>
          <w:i/>
          <w:iCs/>
          <w:szCs w:val="20"/>
          <w:lang w:val="cs-CZ"/>
        </w:rPr>
        <w:t xml:space="preserve"> </w:t>
      </w:r>
      <w:proofErr w:type="spellStart"/>
      <w:r w:rsidR="004465A9" w:rsidRPr="00454560">
        <w:rPr>
          <w:rFonts w:ascii="Dax Offc Pro Light" w:hAnsi="Dax Offc Pro Light" w:cs="Tahoma"/>
          <w:i/>
          <w:iCs/>
          <w:szCs w:val="20"/>
          <w:lang w:val="cs-CZ"/>
        </w:rPr>
        <w:t>gewerbliche</w:t>
      </w:r>
      <w:proofErr w:type="spellEnd"/>
      <w:r w:rsidR="004465A9" w:rsidRPr="00454560">
        <w:rPr>
          <w:rFonts w:ascii="Dax Offc Pro Light" w:hAnsi="Dax Offc Pro Light" w:cs="Tahoma"/>
          <w:i/>
          <w:iCs/>
          <w:szCs w:val="20"/>
          <w:lang w:val="cs-CZ"/>
        </w:rPr>
        <w:t xml:space="preserve"> Produkte</w:t>
      </w:r>
      <w:r w:rsidR="004465A9" w:rsidRPr="00454560">
        <w:rPr>
          <w:rFonts w:ascii="Dax Offc Pro Light" w:hAnsi="Dax Offc Pro Light" w:cs="Tahoma"/>
          <w:szCs w:val="20"/>
          <w:lang w:val="cs-CZ"/>
        </w:rPr>
        <w:t>) č. 61241-0006 pro zvedací a dopravní zařízení (</w:t>
      </w:r>
      <w:proofErr w:type="spellStart"/>
      <w:r w:rsidR="004465A9" w:rsidRPr="00454560">
        <w:rPr>
          <w:rFonts w:ascii="Dax Offc Pro Light" w:hAnsi="Dax Offc Pro Light" w:cs="Tahoma"/>
          <w:i/>
          <w:iCs/>
          <w:szCs w:val="20"/>
          <w:lang w:val="cs-CZ"/>
        </w:rPr>
        <w:t>Hebezeuge</w:t>
      </w:r>
      <w:proofErr w:type="spellEnd"/>
      <w:r w:rsidR="004465A9" w:rsidRPr="00454560">
        <w:rPr>
          <w:rFonts w:ascii="Dax Offc Pro Light" w:hAnsi="Dax Offc Pro Light" w:cs="Tahoma"/>
          <w:i/>
          <w:iCs/>
          <w:szCs w:val="20"/>
          <w:lang w:val="cs-CZ"/>
        </w:rPr>
        <w:t xml:space="preserve"> </w:t>
      </w:r>
      <w:proofErr w:type="spellStart"/>
      <w:r w:rsidR="004465A9" w:rsidRPr="00454560">
        <w:rPr>
          <w:rFonts w:ascii="Dax Offc Pro Light" w:hAnsi="Dax Offc Pro Light" w:cs="Tahoma"/>
          <w:i/>
          <w:iCs/>
          <w:szCs w:val="20"/>
          <w:lang w:val="cs-CZ"/>
        </w:rPr>
        <w:t>und</w:t>
      </w:r>
      <w:proofErr w:type="spellEnd"/>
      <w:r w:rsidR="004465A9" w:rsidRPr="00454560">
        <w:rPr>
          <w:rFonts w:ascii="Dax Offc Pro Light" w:hAnsi="Dax Offc Pro Light" w:cs="Tahoma"/>
          <w:i/>
          <w:iCs/>
          <w:szCs w:val="20"/>
          <w:lang w:val="cs-CZ"/>
        </w:rPr>
        <w:t xml:space="preserve"> </w:t>
      </w:r>
      <w:proofErr w:type="spellStart"/>
      <w:r w:rsidR="004465A9" w:rsidRPr="00454560">
        <w:rPr>
          <w:rFonts w:ascii="Dax Offc Pro Light" w:hAnsi="Dax Offc Pro Light" w:cs="Tahoma"/>
          <w:i/>
          <w:iCs/>
          <w:szCs w:val="20"/>
          <w:lang w:val="cs-CZ"/>
        </w:rPr>
        <w:t>Fördermittel</w:t>
      </w:r>
      <w:proofErr w:type="spellEnd"/>
      <w:r w:rsidR="004465A9" w:rsidRPr="00454560">
        <w:rPr>
          <w:rFonts w:ascii="Dax Offc Pro Light" w:hAnsi="Dax Offc Pro Light" w:cs="Tahoma"/>
          <w:szCs w:val="20"/>
          <w:lang w:val="cs-CZ"/>
        </w:rPr>
        <w:t>) č. GP09-2822 vyhlašovaném Německým statistickým úřadem (</w:t>
      </w:r>
      <w:proofErr w:type="spellStart"/>
      <w:r w:rsidR="004465A9" w:rsidRPr="00454560">
        <w:rPr>
          <w:rFonts w:ascii="Dax Offc Pro Light" w:hAnsi="Dax Offc Pro Light" w:cs="Tahoma"/>
          <w:i/>
          <w:iCs/>
          <w:szCs w:val="20"/>
          <w:lang w:val="cs-CZ"/>
        </w:rPr>
        <w:t>Statistisches</w:t>
      </w:r>
      <w:proofErr w:type="spellEnd"/>
      <w:r w:rsidR="004465A9" w:rsidRPr="00454560">
        <w:rPr>
          <w:rFonts w:ascii="Dax Offc Pro Light" w:hAnsi="Dax Offc Pro Light" w:cs="Tahoma"/>
          <w:i/>
          <w:iCs/>
          <w:szCs w:val="20"/>
          <w:lang w:val="cs-CZ"/>
        </w:rPr>
        <w:t xml:space="preserve"> </w:t>
      </w:r>
      <w:proofErr w:type="spellStart"/>
      <w:r w:rsidR="004465A9" w:rsidRPr="00454560">
        <w:rPr>
          <w:rFonts w:ascii="Dax Offc Pro Light" w:hAnsi="Dax Offc Pro Light" w:cs="Tahoma"/>
          <w:i/>
          <w:iCs/>
          <w:szCs w:val="20"/>
          <w:lang w:val="cs-CZ"/>
        </w:rPr>
        <w:t>Bundesamt</w:t>
      </w:r>
      <w:proofErr w:type="spellEnd"/>
      <w:r w:rsidR="004465A9" w:rsidRPr="00454560">
        <w:rPr>
          <w:rFonts w:ascii="Dax Offc Pro Light" w:hAnsi="Dax Offc Pro Light" w:cs="Tahoma"/>
          <w:i/>
          <w:iCs/>
          <w:szCs w:val="20"/>
          <w:lang w:val="cs-CZ"/>
        </w:rPr>
        <w:t xml:space="preserve"> </w:t>
      </w:r>
      <w:proofErr w:type="spellStart"/>
      <w:r w:rsidR="004465A9" w:rsidRPr="00454560">
        <w:rPr>
          <w:rFonts w:ascii="Dax Offc Pro Light" w:hAnsi="Dax Offc Pro Light" w:cs="Tahoma"/>
          <w:i/>
          <w:iCs/>
          <w:szCs w:val="20"/>
          <w:lang w:val="cs-CZ"/>
        </w:rPr>
        <w:t>Deutschland</w:t>
      </w:r>
      <w:proofErr w:type="spellEnd"/>
      <w:r w:rsidR="004465A9" w:rsidRPr="00454560">
        <w:rPr>
          <w:rFonts w:ascii="Dax Offc Pro Light" w:hAnsi="Dax Offc Pro Light" w:cs="Tahoma"/>
          <w:szCs w:val="20"/>
          <w:lang w:val="cs-CZ"/>
        </w:rPr>
        <w:t xml:space="preserve">) (dále jen „Index“), a to o poměr poslední známé hodnoty Indexu před datem dodání zboží a hodnoty Indexu ke dni uzavření kupní smlouvy </w:t>
      </w:r>
      <w:bookmarkStart w:id="0" w:name="_Hlk111132312"/>
      <w:r w:rsidR="004465A9" w:rsidRPr="00454560">
        <w:rPr>
          <w:rFonts w:ascii="Dax Offc Pro Light" w:hAnsi="Dax Offc Pro Light" w:cs="Tahoma"/>
          <w:szCs w:val="20"/>
          <w:lang w:val="cs-CZ"/>
        </w:rPr>
        <w:t xml:space="preserve">(např. pokud byla hodnota Indexu ke dni uzavření kupní smlouvy 111,40 a poslední známá </w:t>
      </w:r>
      <w:r w:rsidR="004465A9" w:rsidRPr="00454560">
        <w:rPr>
          <w:rFonts w:ascii="Dax Offc Pro Light" w:hAnsi="Dax Offc Pro Light" w:cs="Tahoma"/>
          <w:szCs w:val="20"/>
          <w:lang w:val="cs-CZ"/>
        </w:rPr>
        <w:lastRenderedPageBreak/>
        <w:t>hodnota Indexu před datem dodání zboží byla 117,30 =&gt; 117,30/111,40 = 1,053 =&gt; nárůst kupní ceny zboží o 5,30%)</w:t>
      </w:r>
      <w:bookmarkEnd w:id="0"/>
      <w:r w:rsidR="004465A9" w:rsidRPr="00454560">
        <w:rPr>
          <w:rFonts w:ascii="Dax Offc Pro Light" w:hAnsi="Dax Offc Pro Light" w:cs="Calibri"/>
          <w:szCs w:val="20"/>
          <w:lang w:val="cs-CZ"/>
        </w:rPr>
        <w:t xml:space="preserve">. </w:t>
      </w:r>
      <w:r w:rsidR="004465A9" w:rsidRPr="00454560">
        <w:rPr>
          <w:rFonts w:ascii="Dax Offc Pro Light" w:hAnsi="Dax Offc Pro Light"/>
          <w:szCs w:val="20"/>
          <w:lang w:val="cs-CZ"/>
        </w:rPr>
        <w:t>Změna kupní ceny dle tohoto článku nezakládá právo kupujícího na odstoupení od kupní smlouvy nebo na výpověď kupní smlouvy</w:t>
      </w:r>
      <w:r w:rsidR="00E03802" w:rsidRPr="00454560">
        <w:rPr>
          <w:rFonts w:ascii="Dax Offc Pro Light" w:hAnsi="Dax Offc Pro Light"/>
          <w:szCs w:val="20"/>
          <w:lang w:val="cs-CZ"/>
        </w:rPr>
        <w:t>.</w:t>
      </w:r>
    </w:p>
    <w:p w14:paraId="6DB9DCA3" w14:textId="39B3F966" w:rsidR="001D4F3E" w:rsidRPr="00454560" w:rsidRDefault="001D4F3E" w:rsidP="00631E48">
      <w:pPr>
        <w:pStyle w:val="Odstavecseseznamem"/>
        <w:ind w:left="0" w:right="120"/>
        <w:rPr>
          <w:lang w:val="cs-CZ" w:eastAsia="cs-CZ"/>
        </w:rPr>
      </w:pPr>
      <w:r>
        <w:rPr>
          <w:rFonts w:ascii="Dax Offc Pro Light" w:eastAsia="Times New Roman" w:hAnsi="Dax Offc Pro Light"/>
          <w:color w:val="545454"/>
          <w:szCs w:val="20"/>
          <w:lang w:val="cs-CZ" w:eastAsia="cs-CZ"/>
        </w:rPr>
        <w:t xml:space="preserve">3. </w:t>
      </w:r>
      <w:r w:rsidR="006A41E6" w:rsidRPr="00454560">
        <w:rPr>
          <w:rFonts w:ascii="Dax Offc Pro Light" w:eastAsia="Times New Roman" w:hAnsi="Dax Offc Pro Light"/>
          <w:color w:val="545454"/>
          <w:szCs w:val="20"/>
          <w:lang w:val="cs-CZ" w:eastAsia="cs-CZ"/>
        </w:rPr>
        <w:t>Prodávající je oprávněn postoupit svou případnou pohledávku za kupujícím nebo započítávat vzájemné pohledávky a závazky vůči kupujícímu pouze na základě předchozího písemného souhlasu kupujícího.</w:t>
      </w:r>
    </w:p>
    <w:p w14:paraId="23F45E59" w14:textId="1EA871AC" w:rsidR="009A2913" w:rsidRPr="00454560" w:rsidRDefault="009A2913" w:rsidP="00631E48">
      <w:pPr>
        <w:ind w:right="120"/>
        <w:rPr>
          <w:rFonts w:ascii="Dax Offc Pro Light" w:eastAsia="Times New Roman" w:hAnsi="Dax Offc Pro Light"/>
          <w:b/>
          <w:bCs/>
          <w:color w:val="545454"/>
          <w:szCs w:val="20"/>
          <w:lang w:val="cs-CZ" w:eastAsia="cs-CZ"/>
        </w:rPr>
      </w:pPr>
      <w:r w:rsidRPr="00454560">
        <w:rPr>
          <w:rFonts w:ascii="Dax Offc Pro Light" w:eastAsia="Times New Roman" w:hAnsi="Dax Offc Pro Light"/>
          <w:b/>
          <w:bCs/>
          <w:color w:val="545454"/>
          <w:szCs w:val="20"/>
          <w:lang w:val="cs-CZ" w:eastAsia="cs-CZ"/>
        </w:rPr>
        <w:t>V. Záruční podmínky</w:t>
      </w:r>
    </w:p>
    <w:p w14:paraId="593FBF19" w14:textId="52C778F9" w:rsidR="003B5A2B" w:rsidRPr="00A70C08" w:rsidRDefault="003B5A2B" w:rsidP="00631E48">
      <w:pPr>
        <w:pStyle w:val="Odstavecseseznamem"/>
        <w:ind w:left="0" w:right="120"/>
        <w:rPr>
          <w:rFonts w:ascii="Dax Offc Pro Light" w:eastAsia="Times New Roman" w:hAnsi="Dax Offc Pro Light"/>
          <w:color w:val="545454"/>
          <w:szCs w:val="20"/>
          <w:lang w:val="cs-CZ" w:eastAsia="cs-CZ"/>
        </w:rPr>
      </w:pPr>
      <w:r w:rsidRPr="00A70C08">
        <w:rPr>
          <w:rFonts w:ascii="Dax Offc Pro Light" w:eastAsia="Times New Roman" w:hAnsi="Dax Offc Pro Light"/>
          <w:color w:val="545454"/>
          <w:szCs w:val="20"/>
          <w:lang w:val="cs-CZ" w:eastAsia="cs-CZ"/>
        </w:rPr>
        <w:t>1.</w:t>
      </w:r>
      <w:r w:rsidR="00631E48">
        <w:rPr>
          <w:rFonts w:ascii="Dax Offc Pro Light" w:eastAsia="Times New Roman" w:hAnsi="Dax Offc Pro Light"/>
          <w:color w:val="545454"/>
          <w:szCs w:val="20"/>
          <w:lang w:val="cs-CZ" w:eastAsia="cs-CZ"/>
        </w:rPr>
        <w:t xml:space="preserve"> </w:t>
      </w:r>
      <w:r w:rsidRPr="00A70C08">
        <w:rPr>
          <w:rFonts w:ascii="Dax Offc Pro Light" w:eastAsia="Times New Roman" w:hAnsi="Dax Offc Pro Light"/>
          <w:color w:val="545454"/>
          <w:szCs w:val="20"/>
          <w:lang w:val="cs-CZ" w:eastAsia="cs-CZ"/>
        </w:rPr>
        <w:t>Na zboží je poskytována záruka na 1 rok nebo 1</w:t>
      </w:r>
      <w:r w:rsidR="000B3298">
        <w:rPr>
          <w:rFonts w:ascii="Dax Offc Pro Light" w:eastAsia="Times New Roman" w:hAnsi="Dax Offc Pro Light"/>
          <w:color w:val="545454"/>
          <w:szCs w:val="20"/>
          <w:lang w:val="cs-CZ" w:eastAsia="cs-CZ"/>
        </w:rPr>
        <w:t>.</w:t>
      </w:r>
      <w:r w:rsidRPr="00A70C08">
        <w:rPr>
          <w:rFonts w:ascii="Dax Offc Pro Light" w:eastAsia="Times New Roman" w:hAnsi="Dax Offc Pro Light"/>
          <w:color w:val="545454"/>
          <w:szCs w:val="20"/>
          <w:lang w:val="cs-CZ" w:eastAsia="cs-CZ"/>
        </w:rPr>
        <w:t xml:space="preserve">200 </w:t>
      </w:r>
      <w:proofErr w:type="spellStart"/>
      <w:r w:rsidRPr="00A70C08">
        <w:rPr>
          <w:rFonts w:ascii="Dax Offc Pro Light" w:eastAsia="Times New Roman" w:hAnsi="Dax Offc Pro Light"/>
          <w:color w:val="545454"/>
          <w:szCs w:val="20"/>
          <w:lang w:val="cs-CZ" w:eastAsia="cs-CZ"/>
        </w:rPr>
        <w:t>mth</w:t>
      </w:r>
      <w:proofErr w:type="spellEnd"/>
      <w:r w:rsidRPr="00A70C08">
        <w:rPr>
          <w:rFonts w:ascii="Dax Offc Pro Light" w:eastAsia="Times New Roman" w:hAnsi="Dax Offc Pro Light"/>
          <w:color w:val="545454"/>
          <w:szCs w:val="20"/>
          <w:lang w:val="cs-CZ" w:eastAsia="cs-CZ"/>
        </w:rPr>
        <w:t>. Pro ukončení záruky je rozhodující ten údaj, který nastane dříve. Při ukončení záruky nájezdem motohodin je směrodatný údaj počítadla motohodin.</w:t>
      </w:r>
    </w:p>
    <w:p w14:paraId="2513A79C" w14:textId="3375D7BA" w:rsidR="00011D50" w:rsidRPr="00454560" w:rsidRDefault="003B5A2B" w:rsidP="00631E48">
      <w:pPr>
        <w:ind w:right="120"/>
        <w:rPr>
          <w:rFonts w:ascii="Dax Offc Pro Light" w:eastAsia="Times New Roman" w:hAnsi="Dax Offc Pro Light"/>
          <w:color w:val="545454"/>
          <w:szCs w:val="20"/>
          <w:lang w:val="cs-CZ" w:eastAsia="cs-CZ"/>
        </w:rPr>
      </w:pPr>
      <w:r w:rsidRPr="00A70C08">
        <w:rPr>
          <w:rFonts w:ascii="Dax Offc Pro Light" w:eastAsia="Times New Roman" w:hAnsi="Dax Offc Pro Light"/>
          <w:color w:val="545454"/>
          <w:szCs w:val="20"/>
          <w:lang w:val="cs-CZ" w:eastAsia="cs-CZ"/>
        </w:rPr>
        <w:t>2. Záruční doba začíná běžet ode dne přechodu nebezpečí škody na zboží na kupujícího.</w:t>
      </w:r>
      <w:r w:rsidR="00027950" w:rsidRPr="00454560">
        <w:rPr>
          <w:rFonts w:ascii="Dax Offc Pro Light" w:eastAsia="Times New Roman" w:hAnsi="Dax Offc Pro Light"/>
          <w:color w:val="545454"/>
          <w:szCs w:val="20"/>
          <w:lang w:val="cs-CZ" w:eastAsia="cs-CZ"/>
        </w:rPr>
        <w:br/>
      </w:r>
      <w:r w:rsidR="00C4085A" w:rsidRPr="00454560">
        <w:rPr>
          <w:rFonts w:ascii="Dax Offc Pro Light" w:eastAsia="Times New Roman" w:hAnsi="Dax Offc Pro Light"/>
          <w:color w:val="545454"/>
          <w:szCs w:val="20"/>
          <w:lang w:val="cs-CZ" w:eastAsia="cs-CZ"/>
        </w:rPr>
        <w:t>3</w:t>
      </w:r>
      <w:r w:rsidR="00221210" w:rsidRPr="00454560">
        <w:rPr>
          <w:rFonts w:ascii="Dax Offc Pro Light" w:eastAsia="Times New Roman" w:hAnsi="Dax Offc Pro Light"/>
          <w:color w:val="545454"/>
          <w:szCs w:val="20"/>
          <w:lang w:val="cs-CZ" w:eastAsia="cs-CZ"/>
        </w:rPr>
        <w:t>.  Neoprávněná manipulace s počitadlem motohodin na zboží způsobuje bez dalšího okamžité ukončení záruky a zánik záruční odpovědnosti prodávajícího.</w:t>
      </w:r>
      <w:r w:rsidR="00221210" w:rsidRPr="00454560">
        <w:rPr>
          <w:rFonts w:ascii="Dax Offc Pro Light" w:eastAsia="Times New Roman" w:hAnsi="Dax Offc Pro Light"/>
          <w:color w:val="545454"/>
          <w:szCs w:val="20"/>
          <w:lang w:val="cs-CZ" w:eastAsia="cs-CZ"/>
        </w:rPr>
        <w:br/>
        <w:t>5.  Kupující je povinen po celou dobu trvání záruční doby užívat a udržovat zboží v souladu s příslušným návodem na použití, návodem na údržbu a obsluhu (či jiným obdobným dokumentem).</w:t>
      </w:r>
      <w:r w:rsidR="00027950" w:rsidRPr="00454560">
        <w:rPr>
          <w:rFonts w:ascii="Dax Offc Pro Light" w:eastAsia="Times New Roman" w:hAnsi="Dax Offc Pro Light"/>
          <w:color w:val="545454"/>
          <w:szCs w:val="20"/>
          <w:lang w:val="cs-CZ" w:eastAsia="cs-CZ"/>
        </w:rPr>
        <w:br/>
      </w:r>
      <w:r w:rsidR="00221210" w:rsidRPr="00454560">
        <w:rPr>
          <w:rFonts w:ascii="Dax Offc Pro Light" w:eastAsia="Times New Roman" w:hAnsi="Dax Offc Pro Light"/>
          <w:color w:val="545454"/>
          <w:szCs w:val="20"/>
          <w:lang w:val="cs-CZ" w:eastAsia="cs-CZ"/>
        </w:rPr>
        <w:t xml:space="preserve">6. </w:t>
      </w:r>
      <w:r w:rsidR="00027950" w:rsidRPr="00454560">
        <w:rPr>
          <w:rFonts w:ascii="Dax Offc Pro Light" w:eastAsia="Times New Roman" w:hAnsi="Dax Offc Pro Light"/>
          <w:color w:val="545454"/>
          <w:szCs w:val="20"/>
          <w:lang w:val="cs-CZ" w:eastAsia="cs-CZ"/>
        </w:rPr>
        <w:t>Kupující je povinen zajistit běžnou údržbu a péči o zboží v souladu s příslušným návodem na použití, návodem na údržbu a obsluhu.</w:t>
      </w:r>
      <w:r w:rsidR="00027950" w:rsidRPr="00454560">
        <w:rPr>
          <w:rFonts w:ascii="Dax Offc Pro Light" w:eastAsia="Times New Roman" w:hAnsi="Dax Offc Pro Light"/>
          <w:color w:val="545454"/>
          <w:szCs w:val="20"/>
          <w:lang w:val="cs-CZ" w:eastAsia="cs-CZ"/>
        </w:rPr>
        <w:br/>
      </w:r>
      <w:r w:rsidR="00221210" w:rsidRPr="00454560">
        <w:rPr>
          <w:rFonts w:ascii="Dax Offc Pro Light" w:eastAsia="Times New Roman" w:hAnsi="Dax Offc Pro Light"/>
          <w:color w:val="545454"/>
          <w:szCs w:val="20"/>
          <w:lang w:val="cs-CZ" w:eastAsia="cs-CZ"/>
        </w:rPr>
        <w:t xml:space="preserve">7. </w:t>
      </w:r>
      <w:r w:rsidR="00027950" w:rsidRPr="00454560">
        <w:rPr>
          <w:rFonts w:ascii="Dax Offc Pro Light" w:eastAsia="Times New Roman" w:hAnsi="Dax Offc Pro Light"/>
          <w:color w:val="545454"/>
          <w:szCs w:val="20"/>
          <w:lang w:val="cs-CZ" w:eastAsia="cs-CZ"/>
        </w:rPr>
        <w:t>Kupující je povinen zajistit, aby na zboží byla prodávajícím prováděna pravidelná servisní prohlídka (údržba), která má být na zboží prováděna v souladu s návodem k obsluze a údržbě vztahujícím se k příslušnému zboží. Kupující povinen u zboží, na které byla poskytnuta záruka nad 12 měsíců nebo nad 1200 motohodin zajistit, aby na zboží byla prodávajícím provedena pravidelná servisní prohlídka (údržba) zboží, a to vždy nejpozději po najetých 500 motohodinách nebo 6-ti kalendářních měsících od předání zboží, resp. poslední pravidelné servisní prohlídky zboží, a to podle toho, co nastane dříve.</w:t>
      </w:r>
      <w:r w:rsidR="00027950" w:rsidRPr="00454560">
        <w:rPr>
          <w:rFonts w:ascii="Dax Offc Pro Light" w:eastAsia="Times New Roman" w:hAnsi="Dax Offc Pro Light"/>
          <w:color w:val="545454"/>
          <w:szCs w:val="20"/>
          <w:lang w:val="cs-CZ" w:eastAsia="cs-CZ"/>
        </w:rPr>
        <w:br/>
      </w:r>
      <w:r w:rsidR="00221210" w:rsidRPr="00454560">
        <w:rPr>
          <w:rFonts w:ascii="Dax Offc Pro Light" w:eastAsia="Times New Roman" w:hAnsi="Dax Offc Pro Light"/>
          <w:color w:val="545454"/>
          <w:szCs w:val="20"/>
          <w:lang w:val="cs-CZ" w:eastAsia="cs-CZ"/>
        </w:rPr>
        <w:t xml:space="preserve">8. </w:t>
      </w:r>
      <w:r w:rsidR="00027950" w:rsidRPr="00454560">
        <w:rPr>
          <w:rFonts w:ascii="Dax Offc Pro Light" w:eastAsia="Times New Roman" w:hAnsi="Dax Offc Pro Light"/>
          <w:color w:val="545454"/>
          <w:szCs w:val="20"/>
          <w:lang w:val="cs-CZ" w:eastAsia="cs-CZ"/>
        </w:rPr>
        <w:t>Kupující je povinen na své náklady zajistit vhodné podmínky pro provedení pravidelné servisní prohlídky v místě umístění zboží a poskytnout pověřenému pracovníkovi prodávajícího při provádění servisu nezbytnou součinnost. Místo pro provedení pravidelné servisní prohlídky musí mít dostatečné osvětlení, vytápění a větrání a musí splňovat veškeré platné směrnice bezpečnosti práce. Pracovníci prodávajícího nebo jím pověřené osoby mají právo neomezeného přístupu k místu provádění servisu. Kupující je povinen se během provádění pravidelné servisní prohlídky postarat o zajištění místa před přístupem nepovolaných osob. Pokud provedení pravidelné servisní prohlídky vyžaduje provozní prostředky (např. elektrický proud, vodu) nebo technickou pomoc, je tyto prostředky kupující povinen bezplatně a včas prodávajícímu poskytnout.</w:t>
      </w:r>
      <w:r w:rsidR="00027950" w:rsidRPr="00454560">
        <w:rPr>
          <w:rFonts w:ascii="Dax Offc Pro Light" w:eastAsia="Times New Roman" w:hAnsi="Dax Offc Pro Light"/>
          <w:color w:val="545454"/>
          <w:szCs w:val="20"/>
          <w:lang w:val="cs-CZ" w:eastAsia="cs-CZ"/>
        </w:rPr>
        <w:br/>
      </w:r>
      <w:r w:rsidR="00DA44EA" w:rsidRPr="00454560">
        <w:rPr>
          <w:rFonts w:ascii="Dax Offc Pro Light" w:eastAsia="Times New Roman" w:hAnsi="Dax Offc Pro Light"/>
          <w:color w:val="545454"/>
          <w:szCs w:val="20"/>
          <w:lang w:val="cs-CZ" w:eastAsia="cs-CZ"/>
        </w:rPr>
        <w:t xml:space="preserve">9. </w:t>
      </w:r>
      <w:r w:rsidR="00027950" w:rsidRPr="00454560">
        <w:rPr>
          <w:rFonts w:ascii="Dax Offc Pro Light" w:eastAsia="Times New Roman" w:hAnsi="Dax Offc Pro Light"/>
          <w:color w:val="545454"/>
          <w:szCs w:val="20"/>
          <w:lang w:val="cs-CZ" w:eastAsia="cs-CZ"/>
        </w:rPr>
        <w:t>V případě řádně a včas oznámené (reklamované) vady zboží, za kterou prodávající odpovídá, je prodávající oprávněn podle své volby určit některý ze způsobů odstranění předmětné vady: (i) opravou vadného zboží nebo (</w:t>
      </w:r>
      <w:proofErr w:type="spellStart"/>
      <w:r w:rsidR="00027950" w:rsidRPr="00454560">
        <w:rPr>
          <w:rFonts w:ascii="Dax Offc Pro Light" w:eastAsia="Times New Roman" w:hAnsi="Dax Offc Pro Light"/>
          <w:color w:val="545454"/>
          <w:szCs w:val="20"/>
          <w:lang w:val="cs-CZ" w:eastAsia="cs-CZ"/>
        </w:rPr>
        <w:t>ii</w:t>
      </w:r>
      <w:proofErr w:type="spellEnd"/>
      <w:r w:rsidR="00027950" w:rsidRPr="00454560">
        <w:rPr>
          <w:rFonts w:ascii="Dax Offc Pro Light" w:eastAsia="Times New Roman" w:hAnsi="Dax Offc Pro Light"/>
          <w:color w:val="545454"/>
          <w:szCs w:val="20"/>
          <w:lang w:val="cs-CZ" w:eastAsia="cs-CZ"/>
        </w:rPr>
        <w:t>) dodáním náhradního zboží či jeho části nebo (</w:t>
      </w:r>
      <w:proofErr w:type="spellStart"/>
      <w:r w:rsidR="00027950" w:rsidRPr="00454560">
        <w:rPr>
          <w:rFonts w:ascii="Dax Offc Pro Light" w:eastAsia="Times New Roman" w:hAnsi="Dax Offc Pro Light"/>
          <w:color w:val="545454"/>
          <w:szCs w:val="20"/>
          <w:lang w:val="cs-CZ" w:eastAsia="cs-CZ"/>
        </w:rPr>
        <w:t>iii</w:t>
      </w:r>
      <w:proofErr w:type="spellEnd"/>
      <w:r w:rsidR="00027950" w:rsidRPr="00454560">
        <w:rPr>
          <w:rFonts w:ascii="Dax Offc Pro Light" w:eastAsia="Times New Roman" w:hAnsi="Dax Offc Pro Light"/>
          <w:color w:val="545454"/>
          <w:szCs w:val="20"/>
          <w:lang w:val="cs-CZ" w:eastAsia="cs-CZ"/>
        </w:rPr>
        <w:t>) poskytnutím přiměřené slevy z kupní ceny. V případě, že prodávající neuzná reklamaci za oprávněnou, oznámí písemně (e-mailem) kupujícímu důvody, pro které byla reklamace posouzena jako neoprávněná.</w:t>
      </w:r>
    </w:p>
    <w:p w14:paraId="4370F29D" w14:textId="43AF0F9A" w:rsidR="00027950" w:rsidRDefault="00DA44EA" w:rsidP="00631E48">
      <w:pPr>
        <w:ind w:right="120"/>
        <w:rPr>
          <w:rFonts w:ascii="Dax Offc Pro Light" w:eastAsia="Times New Roman" w:hAnsi="Dax Offc Pro Light"/>
          <w:color w:val="545454"/>
          <w:szCs w:val="20"/>
          <w:lang w:val="cs-CZ" w:eastAsia="cs-CZ"/>
        </w:rPr>
      </w:pPr>
      <w:r w:rsidRPr="00454560">
        <w:rPr>
          <w:rFonts w:ascii="Dax Offc Pro Light" w:eastAsia="Times New Roman" w:hAnsi="Dax Offc Pro Light"/>
          <w:color w:val="545454"/>
          <w:szCs w:val="20"/>
          <w:lang w:val="cs-CZ" w:eastAsia="cs-CZ"/>
        </w:rPr>
        <w:t xml:space="preserve">10. </w:t>
      </w:r>
      <w:r w:rsidR="00027950" w:rsidRPr="00454560">
        <w:rPr>
          <w:rFonts w:ascii="Dax Offc Pro Light" w:eastAsia="Times New Roman" w:hAnsi="Dax Offc Pro Light"/>
          <w:color w:val="545454"/>
          <w:szCs w:val="20"/>
          <w:lang w:val="cs-CZ" w:eastAsia="cs-CZ"/>
        </w:rPr>
        <w:t xml:space="preserve"> Prodávající je povinen odstranit vadu některým ze způsobů uvedených v</w:t>
      </w:r>
      <w:r w:rsidRPr="00454560">
        <w:rPr>
          <w:rFonts w:ascii="Dax Offc Pro Light" w:eastAsia="Times New Roman" w:hAnsi="Dax Offc Pro Light"/>
          <w:color w:val="545454"/>
          <w:szCs w:val="20"/>
          <w:lang w:val="cs-CZ" w:eastAsia="cs-CZ"/>
        </w:rPr>
        <w:t> odst. 9</w:t>
      </w:r>
      <w:r w:rsidR="003B5A2B">
        <w:rPr>
          <w:rFonts w:ascii="Dax Offc Pro Light" w:eastAsia="Times New Roman" w:hAnsi="Dax Offc Pro Light"/>
          <w:color w:val="545454"/>
          <w:szCs w:val="20"/>
          <w:lang w:val="cs-CZ" w:eastAsia="cs-CZ"/>
        </w:rPr>
        <w:t xml:space="preserve"> </w:t>
      </w:r>
      <w:r w:rsidR="00011D50" w:rsidRPr="00454560">
        <w:rPr>
          <w:rFonts w:ascii="Dax Offc Pro Light" w:eastAsia="Times New Roman" w:hAnsi="Dax Offc Pro Light"/>
          <w:color w:val="545454"/>
          <w:szCs w:val="20"/>
          <w:lang w:val="cs-CZ" w:eastAsia="cs-CZ"/>
        </w:rPr>
        <w:t xml:space="preserve">obchodních podmínek </w:t>
      </w:r>
      <w:r w:rsidR="00027950" w:rsidRPr="00454560">
        <w:rPr>
          <w:rFonts w:ascii="Dax Offc Pro Light" w:eastAsia="Times New Roman" w:hAnsi="Dax Offc Pro Light"/>
          <w:color w:val="545454"/>
          <w:szCs w:val="20"/>
          <w:lang w:val="cs-CZ" w:eastAsia="cs-CZ"/>
        </w:rPr>
        <w:t>v přiměřené lhůtě odpovídající povaze předmětné vady.</w:t>
      </w:r>
      <w:r w:rsidR="00027950" w:rsidRPr="00454560">
        <w:rPr>
          <w:rFonts w:ascii="Dax Offc Pro Light" w:eastAsia="Times New Roman" w:hAnsi="Dax Offc Pro Light"/>
          <w:color w:val="545454"/>
          <w:szCs w:val="20"/>
          <w:lang w:val="cs-CZ" w:eastAsia="cs-CZ"/>
        </w:rPr>
        <w:br/>
      </w:r>
      <w:r w:rsidRPr="00454560">
        <w:rPr>
          <w:rFonts w:ascii="Dax Offc Pro Light" w:eastAsia="Times New Roman" w:hAnsi="Dax Offc Pro Light"/>
          <w:color w:val="545454"/>
          <w:szCs w:val="20"/>
          <w:lang w:val="cs-CZ" w:eastAsia="cs-CZ"/>
        </w:rPr>
        <w:t xml:space="preserve">11. </w:t>
      </w:r>
      <w:r w:rsidR="00027950" w:rsidRPr="00454560">
        <w:rPr>
          <w:rFonts w:ascii="Dax Offc Pro Light" w:eastAsia="Times New Roman" w:hAnsi="Dax Offc Pro Light"/>
          <w:color w:val="545454"/>
          <w:szCs w:val="20"/>
          <w:lang w:val="cs-CZ" w:eastAsia="cs-CZ"/>
        </w:rPr>
        <w:t xml:space="preserve"> Prodávající je oprávněn v rámci odstranění vady zboží podle svého uvážení přistoupit i k výměně zboží či jeho dílu za jiné zboží či díl stejného druhu a stejných nebo lepších parametrů, a to i případně od jiného výrobce tak, aby byla obnovena funkčnost opravovaného/nahrazovaného zboží.</w:t>
      </w:r>
      <w:r w:rsidR="00027950" w:rsidRPr="00454560">
        <w:rPr>
          <w:rFonts w:ascii="Dax Offc Pro Light" w:eastAsia="Times New Roman" w:hAnsi="Dax Offc Pro Light"/>
          <w:color w:val="545454"/>
          <w:szCs w:val="20"/>
          <w:lang w:val="cs-CZ" w:eastAsia="cs-CZ"/>
        </w:rPr>
        <w:br/>
      </w:r>
      <w:r w:rsidR="00011D50" w:rsidRPr="00454560">
        <w:rPr>
          <w:rFonts w:ascii="Dax Offc Pro Light" w:eastAsia="Times New Roman" w:hAnsi="Dax Offc Pro Light"/>
          <w:color w:val="545454"/>
          <w:szCs w:val="20"/>
          <w:lang w:val="cs-CZ" w:eastAsia="cs-CZ"/>
        </w:rPr>
        <w:t xml:space="preserve">12. </w:t>
      </w:r>
      <w:r w:rsidR="00027950" w:rsidRPr="00454560">
        <w:rPr>
          <w:rFonts w:ascii="Dax Offc Pro Light" w:eastAsia="Times New Roman" w:hAnsi="Dax Offc Pro Light"/>
          <w:color w:val="545454"/>
          <w:szCs w:val="20"/>
          <w:lang w:val="cs-CZ" w:eastAsia="cs-CZ"/>
        </w:rPr>
        <w:t>Kupující je pro případ provádění kontroly či opravy zboží povinen zajistit pracovníkům prodávajícího obdobné podmínky, jako jsou stanoveny v</w:t>
      </w:r>
      <w:r w:rsidR="00011D50" w:rsidRPr="00454560">
        <w:rPr>
          <w:rFonts w:ascii="Dax Offc Pro Light" w:eastAsia="Times New Roman" w:hAnsi="Dax Offc Pro Light"/>
          <w:color w:val="545454"/>
          <w:szCs w:val="20"/>
          <w:lang w:val="cs-CZ" w:eastAsia="cs-CZ"/>
        </w:rPr>
        <w:t> odst. 8  obchodních podmínek</w:t>
      </w:r>
      <w:r w:rsidR="00027950" w:rsidRPr="00454560">
        <w:rPr>
          <w:rFonts w:ascii="Dax Offc Pro Light" w:eastAsia="Times New Roman" w:hAnsi="Dax Offc Pro Light"/>
          <w:color w:val="545454"/>
          <w:szCs w:val="20"/>
          <w:lang w:val="cs-CZ" w:eastAsia="cs-CZ"/>
        </w:rPr>
        <w:t>. Prodávající je povinen plnit své závazky vyplývající ze záruky pouze tehdy, pokud kupující není v prodlení s úhradou kupní ceny zboží nebo jakéhokoliv jiného peněžitého plnění vůči prodávajícímu.</w:t>
      </w:r>
      <w:r w:rsidR="00027950" w:rsidRPr="00454560">
        <w:rPr>
          <w:rFonts w:ascii="Dax Offc Pro Light" w:eastAsia="Times New Roman" w:hAnsi="Dax Offc Pro Light"/>
          <w:color w:val="545454"/>
          <w:szCs w:val="20"/>
          <w:lang w:val="cs-CZ" w:eastAsia="cs-CZ"/>
        </w:rPr>
        <w:br/>
      </w:r>
      <w:r w:rsidR="00011D50" w:rsidRPr="00454560">
        <w:rPr>
          <w:rFonts w:ascii="Dax Offc Pro Light" w:eastAsia="Times New Roman" w:hAnsi="Dax Offc Pro Light"/>
          <w:color w:val="545454"/>
          <w:szCs w:val="20"/>
          <w:lang w:val="cs-CZ" w:eastAsia="cs-CZ"/>
        </w:rPr>
        <w:t xml:space="preserve">13. </w:t>
      </w:r>
      <w:r w:rsidR="00027950" w:rsidRPr="00454560">
        <w:rPr>
          <w:rFonts w:ascii="Dax Offc Pro Light" w:eastAsia="Times New Roman" w:hAnsi="Dax Offc Pro Light"/>
          <w:color w:val="545454"/>
          <w:szCs w:val="20"/>
          <w:lang w:val="cs-CZ" w:eastAsia="cs-CZ"/>
        </w:rPr>
        <w:t>Předmětem záručního plnění není běžná údržba, čištění a podobné úkony předepsané výrobcem v návodu k obsluze zboží, manuálu nebo jiném obdobném dokumentu.</w:t>
      </w:r>
      <w:r w:rsidR="00027950" w:rsidRPr="00454560">
        <w:rPr>
          <w:rFonts w:ascii="Dax Offc Pro Light" w:eastAsia="Times New Roman" w:hAnsi="Dax Offc Pro Light"/>
          <w:color w:val="545454"/>
          <w:szCs w:val="20"/>
          <w:lang w:val="cs-CZ" w:eastAsia="cs-CZ"/>
        </w:rPr>
        <w:br/>
      </w:r>
      <w:r w:rsidR="00011D50" w:rsidRPr="00454560">
        <w:rPr>
          <w:rFonts w:ascii="Dax Offc Pro Light" w:eastAsia="Times New Roman" w:hAnsi="Dax Offc Pro Light"/>
          <w:color w:val="545454"/>
          <w:szCs w:val="20"/>
          <w:lang w:val="cs-CZ" w:eastAsia="cs-CZ"/>
        </w:rPr>
        <w:t xml:space="preserve">14. </w:t>
      </w:r>
      <w:r w:rsidR="00027950" w:rsidRPr="00454560">
        <w:rPr>
          <w:rFonts w:ascii="Dax Offc Pro Light" w:eastAsia="Times New Roman" w:hAnsi="Dax Offc Pro Light"/>
          <w:color w:val="545454"/>
          <w:szCs w:val="20"/>
          <w:lang w:val="cs-CZ" w:eastAsia="cs-CZ"/>
        </w:rPr>
        <w:t xml:space="preserve"> Záruka se též nevztahuje na opotřebení součástí zboží, u nichž výrobce limitoval životnost takové součásti, jestliže tato byla překročena, a na přirozené opotřebení součástí při výrobcem doporučeném užívání zboží. Také není možné uplatnit záruku na ty díly zboží, u kterých byla vada ať již zcela nebo částečně způsobena nadměrným, případně jednostranným namáháním nebo nepovolenou úpravou ze strany kupujícího.</w:t>
      </w:r>
      <w:r w:rsidR="00027950" w:rsidRPr="00454560">
        <w:rPr>
          <w:rFonts w:ascii="Dax Offc Pro Light" w:eastAsia="Times New Roman" w:hAnsi="Dax Offc Pro Light"/>
          <w:color w:val="545454"/>
          <w:szCs w:val="20"/>
          <w:lang w:val="cs-CZ" w:eastAsia="cs-CZ"/>
        </w:rPr>
        <w:br/>
      </w:r>
      <w:r w:rsidR="00011D50" w:rsidRPr="00454560">
        <w:rPr>
          <w:rFonts w:ascii="Dax Offc Pro Light" w:eastAsia="Times New Roman" w:hAnsi="Dax Offc Pro Light"/>
          <w:color w:val="545454"/>
          <w:szCs w:val="20"/>
          <w:lang w:val="cs-CZ" w:eastAsia="cs-CZ"/>
        </w:rPr>
        <w:t xml:space="preserve">15. </w:t>
      </w:r>
      <w:r w:rsidR="00027950" w:rsidRPr="00454560">
        <w:rPr>
          <w:rFonts w:ascii="Dax Offc Pro Light" w:eastAsia="Times New Roman" w:hAnsi="Dax Offc Pro Light"/>
          <w:color w:val="545454"/>
          <w:szCs w:val="20"/>
          <w:lang w:val="cs-CZ" w:eastAsia="cs-CZ"/>
        </w:rPr>
        <w:t xml:space="preserve"> </w:t>
      </w:r>
      <w:r w:rsidR="00011D50" w:rsidRPr="00454560">
        <w:rPr>
          <w:rFonts w:ascii="Dax Offc Pro Light" w:eastAsia="Times New Roman" w:hAnsi="Dax Offc Pro Light"/>
          <w:color w:val="545454"/>
          <w:szCs w:val="20"/>
          <w:lang w:val="cs-CZ" w:eastAsia="cs-CZ"/>
        </w:rPr>
        <w:t xml:space="preserve">Po uplynutí záruky </w:t>
      </w:r>
      <w:r w:rsidR="00027950" w:rsidRPr="00454560">
        <w:rPr>
          <w:rFonts w:ascii="Dax Offc Pro Light" w:eastAsia="Times New Roman" w:hAnsi="Dax Offc Pro Light"/>
          <w:color w:val="545454"/>
          <w:szCs w:val="20"/>
          <w:lang w:val="cs-CZ" w:eastAsia="cs-CZ"/>
        </w:rPr>
        <w:t xml:space="preserve">12 měsíců nebo </w:t>
      </w:r>
      <w:r w:rsidR="00011D50" w:rsidRPr="00454560">
        <w:rPr>
          <w:rFonts w:ascii="Dax Offc Pro Light" w:eastAsia="Times New Roman" w:hAnsi="Dax Offc Pro Light"/>
          <w:color w:val="545454"/>
          <w:szCs w:val="20"/>
          <w:lang w:val="cs-CZ" w:eastAsia="cs-CZ"/>
        </w:rPr>
        <w:t xml:space="preserve">po překročení nájezdu </w:t>
      </w:r>
      <w:r w:rsidR="00027950" w:rsidRPr="00454560">
        <w:rPr>
          <w:rFonts w:ascii="Dax Offc Pro Light" w:eastAsia="Times New Roman" w:hAnsi="Dax Offc Pro Light"/>
          <w:color w:val="545454"/>
          <w:szCs w:val="20"/>
          <w:lang w:val="cs-CZ" w:eastAsia="cs-CZ"/>
        </w:rPr>
        <w:t>1200 motohodin (co nastane dříve) ode dne předání zboží kupujícímu není kupující oprávněn reklamovat komponenty zboží, jako jsou příslušenství spalovacího motoru (alternátor, startér, startovací baterie, vodní pumpa, řemeny), hydraulické hadice, příslušenství kabiny (zámky, stěrače, ramínka, gumičky), sedačky, gumové a pryžové díly (např. manžety, lemovky aj.).</w:t>
      </w:r>
      <w:r w:rsidR="00027950" w:rsidRPr="00454560">
        <w:rPr>
          <w:rFonts w:ascii="Dax Offc Pro Light" w:eastAsia="Times New Roman" w:hAnsi="Dax Offc Pro Light"/>
          <w:color w:val="545454"/>
          <w:szCs w:val="20"/>
          <w:lang w:val="cs-CZ" w:eastAsia="cs-CZ"/>
        </w:rPr>
        <w:br/>
      </w:r>
      <w:r w:rsidR="00011D50" w:rsidRPr="00454560">
        <w:rPr>
          <w:rFonts w:ascii="Dax Offc Pro Light" w:eastAsia="Times New Roman" w:hAnsi="Dax Offc Pro Light"/>
          <w:color w:val="545454"/>
          <w:szCs w:val="20"/>
          <w:lang w:val="cs-CZ" w:eastAsia="cs-CZ"/>
        </w:rPr>
        <w:t xml:space="preserve">16. Po uplynutí </w:t>
      </w:r>
      <w:r w:rsidR="00027950" w:rsidRPr="00454560">
        <w:rPr>
          <w:rFonts w:ascii="Dax Offc Pro Light" w:eastAsia="Times New Roman" w:hAnsi="Dax Offc Pro Light"/>
          <w:color w:val="545454"/>
          <w:szCs w:val="20"/>
          <w:lang w:val="cs-CZ" w:eastAsia="cs-CZ"/>
        </w:rPr>
        <w:t>24 měsíců ode dne předání zboží kupujícímu není kupující oprávněn reklamovat trakční olověné baterie.</w:t>
      </w:r>
    </w:p>
    <w:p w14:paraId="0AFC4B2D" w14:textId="0BDCAB95" w:rsidR="00E620C8" w:rsidRDefault="00E620C8" w:rsidP="00631E48">
      <w:pPr>
        <w:ind w:right="120"/>
        <w:rPr>
          <w:rFonts w:ascii="Dax Offc Pro Light" w:eastAsia="Times New Roman" w:hAnsi="Dax Offc Pro Light"/>
          <w:color w:val="545454"/>
          <w:szCs w:val="20"/>
          <w:lang w:val="cs-CZ" w:eastAsia="cs-CZ"/>
        </w:rPr>
      </w:pPr>
    </w:p>
    <w:p w14:paraId="2BAF2961" w14:textId="79D33531" w:rsidR="00E620C8" w:rsidRDefault="00E620C8" w:rsidP="00631E48">
      <w:pPr>
        <w:ind w:right="120"/>
        <w:rPr>
          <w:rFonts w:ascii="Dax Offc Pro Light" w:eastAsia="Times New Roman" w:hAnsi="Dax Offc Pro Light"/>
          <w:color w:val="545454"/>
          <w:szCs w:val="20"/>
          <w:lang w:val="cs-CZ" w:eastAsia="cs-CZ"/>
        </w:rPr>
      </w:pPr>
    </w:p>
    <w:p w14:paraId="36AC9987" w14:textId="168AAC48" w:rsidR="00E620C8" w:rsidRDefault="00E620C8" w:rsidP="00631E48">
      <w:pPr>
        <w:ind w:right="120"/>
        <w:rPr>
          <w:rFonts w:ascii="Dax Offc Pro Light" w:eastAsia="Times New Roman" w:hAnsi="Dax Offc Pro Light"/>
          <w:color w:val="545454"/>
          <w:szCs w:val="20"/>
          <w:lang w:val="cs-CZ" w:eastAsia="cs-CZ"/>
        </w:rPr>
      </w:pPr>
    </w:p>
    <w:p w14:paraId="08E6701A" w14:textId="75500F32" w:rsidR="00560476" w:rsidRPr="00560476" w:rsidRDefault="00560476" w:rsidP="00560476">
      <w:pPr>
        <w:rPr>
          <w:rFonts w:ascii="Dax Offc Pro Light" w:eastAsia="Times New Roman" w:hAnsi="Dax Offc Pro Light"/>
          <w:color w:val="545454"/>
          <w:szCs w:val="20"/>
          <w:lang w:val="cs-CZ" w:eastAsia="cs-CZ"/>
        </w:rPr>
      </w:pPr>
      <w:r w:rsidRPr="00560476">
        <w:rPr>
          <w:rFonts w:ascii="Dax Offc Pro Light" w:eastAsia="Times New Roman" w:hAnsi="Dax Offc Pro Light"/>
          <w:color w:val="545454"/>
          <w:szCs w:val="20"/>
          <w:lang w:val="cs-CZ" w:eastAsia="cs-CZ"/>
        </w:rPr>
        <w:t xml:space="preserve">17. Na </w:t>
      </w:r>
      <w:proofErr w:type="spellStart"/>
      <w:r w:rsidRPr="00560476">
        <w:rPr>
          <w:rFonts w:ascii="Dax Offc Pro Light" w:eastAsia="Times New Roman" w:hAnsi="Dax Offc Pro Light"/>
          <w:color w:val="545454"/>
          <w:szCs w:val="20"/>
          <w:lang w:val="cs-CZ" w:eastAsia="cs-CZ"/>
        </w:rPr>
        <w:t>Li</w:t>
      </w:r>
      <w:proofErr w:type="spellEnd"/>
      <w:r w:rsidRPr="00560476">
        <w:rPr>
          <w:rFonts w:ascii="Dax Offc Pro Light" w:eastAsia="Times New Roman" w:hAnsi="Dax Offc Pro Light"/>
          <w:color w:val="545454"/>
          <w:szCs w:val="20"/>
          <w:lang w:val="cs-CZ" w:eastAsia="cs-CZ"/>
        </w:rPr>
        <w:t>-Ion baterie se záruka a záruční podmínky řídí níže uvedeným.</w:t>
      </w:r>
    </w:p>
    <w:tbl>
      <w:tblPr>
        <w:tblW w:w="0" w:type="auto"/>
        <w:tblInd w:w="-639" w:type="dxa"/>
        <w:tblCellMar>
          <w:left w:w="70" w:type="dxa"/>
          <w:right w:w="70" w:type="dxa"/>
        </w:tblCellMar>
        <w:tblLook w:val="04A0" w:firstRow="1" w:lastRow="0" w:firstColumn="1" w:lastColumn="0" w:noHBand="0" w:noVBand="1"/>
      </w:tblPr>
      <w:tblGrid>
        <w:gridCol w:w="941"/>
        <w:gridCol w:w="236"/>
        <w:gridCol w:w="865"/>
        <w:gridCol w:w="235"/>
        <w:gridCol w:w="1313"/>
        <w:gridCol w:w="235"/>
        <w:gridCol w:w="4148"/>
        <w:gridCol w:w="235"/>
        <w:gridCol w:w="2002"/>
        <w:gridCol w:w="188"/>
      </w:tblGrid>
      <w:tr w:rsidR="00560476" w:rsidRPr="00104939" w14:paraId="3363A4A9" w14:textId="77777777" w:rsidTr="004823B7">
        <w:trPr>
          <w:trHeight w:val="408"/>
        </w:trPr>
        <w:tc>
          <w:tcPr>
            <w:tcW w:w="8208" w:type="dxa"/>
            <w:gridSpan w:val="8"/>
            <w:tcBorders>
              <w:top w:val="nil"/>
              <w:left w:val="nil"/>
              <w:bottom w:val="nil"/>
              <w:right w:val="nil"/>
            </w:tcBorders>
            <w:shd w:val="clear" w:color="auto" w:fill="auto"/>
            <w:noWrap/>
            <w:vAlign w:val="bottom"/>
          </w:tcPr>
          <w:p w14:paraId="6332DC92" w14:textId="0F7D362B" w:rsidR="00560476" w:rsidRPr="00560476" w:rsidRDefault="00560476" w:rsidP="0045029C">
            <w:pPr>
              <w:rPr>
                <w:rFonts w:cs="Arial"/>
                <w:color w:val="000000"/>
                <w:sz w:val="16"/>
                <w:szCs w:val="16"/>
              </w:rPr>
            </w:pPr>
          </w:p>
        </w:tc>
        <w:tc>
          <w:tcPr>
            <w:tcW w:w="2190" w:type="dxa"/>
            <w:gridSpan w:val="2"/>
            <w:tcBorders>
              <w:top w:val="nil"/>
              <w:left w:val="nil"/>
              <w:bottom w:val="nil"/>
              <w:right w:val="nil"/>
            </w:tcBorders>
            <w:shd w:val="clear" w:color="auto" w:fill="auto"/>
            <w:noWrap/>
            <w:vAlign w:val="bottom"/>
          </w:tcPr>
          <w:p w14:paraId="3144B1BE" w14:textId="77777777" w:rsidR="00560476" w:rsidRPr="00104939" w:rsidRDefault="00560476" w:rsidP="0045029C">
            <w:pPr>
              <w:rPr>
                <w:rFonts w:cs="Arial"/>
                <w:b/>
                <w:bCs/>
                <w:i/>
                <w:iCs/>
                <w:color w:val="000000"/>
                <w:sz w:val="32"/>
                <w:szCs w:val="32"/>
              </w:rPr>
            </w:pPr>
          </w:p>
        </w:tc>
      </w:tr>
      <w:tr w:rsidR="00560476" w:rsidRPr="00104939" w14:paraId="11723EDE" w14:textId="77777777" w:rsidTr="004823B7">
        <w:trPr>
          <w:trHeight w:val="276"/>
        </w:trPr>
        <w:tc>
          <w:tcPr>
            <w:tcW w:w="1177" w:type="dxa"/>
            <w:gridSpan w:val="2"/>
            <w:tcBorders>
              <w:top w:val="nil"/>
              <w:left w:val="nil"/>
              <w:bottom w:val="nil"/>
              <w:right w:val="nil"/>
            </w:tcBorders>
            <w:shd w:val="clear" w:color="auto" w:fill="auto"/>
            <w:noWrap/>
            <w:vAlign w:val="bottom"/>
            <w:hideMark/>
          </w:tcPr>
          <w:p w14:paraId="10B0AAAF" w14:textId="77777777" w:rsidR="00560476" w:rsidRPr="00560476" w:rsidRDefault="00560476" w:rsidP="0045029C">
            <w:pPr>
              <w:rPr>
                <w:sz w:val="16"/>
                <w:szCs w:val="16"/>
              </w:rPr>
            </w:pPr>
          </w:p>
        </w:tc>
        <w:tc>
          <w:tcPr>
            <w:tcW w:w="1100" w:type="dxa"/>
            <w:gridSpan w:val="2"/>
            <w:tcBorders>
              <w:top w:val="nil"/>
              <w:left w:val="nil"/>
              <w:bottom w:val="nil"/>
              <w:right w:val="nil"/>
            </w:tcBorders>
            <w:shd w:val="clear" w:color="auto" w:fill="auto"/>
            <w:noWrap/>
            <w:vAlign w:val="bottom"/>
            <w:hideMark/>
          </w:tcPr>
          <w:p w14:paraId="6490B365" w14:textId="77777777" w:rsidR="00560476" w:rsidRPr="00104939" w:rsidRDefault="00560476" w:rsidP="0045029C"/>
        </w:tc>
        <w:tc>
          <w:tcPr>
            <w:tcW w:w="1548" w:type="dxa"/>
            <w:gridSpan w:val="2"/>
            <w:tcBorders>
              <w:top w:val="nil"/>
              <w:left w:val="nil"/>
              <w:bottom w:val="nil"/>
              <w:right w:val="nil"/>
            </w:tcBorders>
            <w:shd w:val="clear" w:color="auto" w:fill="auto"/>
            <w:noWrap/>
            <w:vAlign w:val="bottom"/>
            <w:hideMark/>
          </w:tcPr>
          <w:p w14:paraId="1E3F0FE5" w14:textId="77777777" w:rsidR="00560476" w:rsidRPr="00104939" w:rsidRDefault="00560476" w:rsidP="0045029C"/>
        </w:tc>
        <w:tc>
          <w:tcPr>
            <w:tcW w:w="4383" w:type="dxa"/>
            <w:gridSpan w:val="2"/>
            <w:tcBorders>
              <w:top w:val="nil"/>
              <w:left w:val="nil"/>
              <w:bottom w:val="nil"/>
              <w:right w:val="nil"/>
            </w:tcBorders>
            <w:shd w:val="clear" w:color="auto" w:fill="auto"/>
            <w:noWrap/>
            <w:vAlign w:val="bottom"/>
            <w:hideMark/>
          </w:tcPr>
          <w:p w14:paraId="745194BD" w14:textId="77777777" w:rsidR="00560476" w:rsidRPr="00104939" w:rsidRDefault="00560476" w:rsidP="0045029C"/>
        </w:tc>
        <w:tc>
          <w:tcPr>
            <w:tcW w:w="2190" w:type="dxa"/>
            <w:gridSpan w:val="2"/>
            <w:tcBorders>
              <w:top w:val="nil"/>
              <w:left w:val="nil"/>
              <w:bottom w:val="nil"/>
              <w:right w:val="nil"/>
            </w:tcBorders>
            <w:shd w:val="clear" w:color="auto" w:fill="auto"/>
            <w:noWrap/>
            <w:vAlign w:val="bottom"/>
            <w:hideMark/>
          </w:tcPr>
          <w:p w14:paraId="78C3FA9D" w14:textId="77777777" w:rsidR="00560476" w:rsidRPr="00104939" w:rsidRDefault="00560476" w:rsidP="0045029C"/>
        </w:tc>
      </w:tr>
      <w:tr w:rsidR="00560476" w:rsidRPr="004D436C" w14:paraId="662A49DC" w14:textId="77777777" w:rsidTr="004823B7">
        <w:trPr>
          <w:gridAfter w:val="1"/>
          <w:wAfter w:w="188" w:type="dxa"/>
          <w:trHeight w:val="456"/>
        </w:trPr>
        <w:tc>
          <w:tcPr>
            <w:tcW w:w="9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AE24DA2" w14:textId="77777777" w:rsidR="00560476" w:rsidRPr="004D436C" w:rsidRDefault="00560476" w:rsidP="0045029C">
            <w:pPr>
              <w:jc w:val="center"/>
              <w:rPr>
                <w:rFonts w:cs="Arial"/>
                <w:b/>
                <w:bCs/>
                <w:color w:val="000000"/>
                <w:sz w:val="18"/>
                <w:szCs w:val="18"/>
              </w:rPr>
            </w:pPr>
            <w:proofErr w:type="spellStart"/>
            <w:r w:rsidRPr="004D436C">
              <w:rPr>
                <w:rFonts w:cs="Arial"/>
                <w:b/>
                <w:bCs/>
                <w:color w:val="000000"/>
                <w:sz w:val="18"/>
                <w:szCs w:val="18"/>
              </w:rPr>
              <w:t>Napětí</w:t>
            </w:r>
            <w:proofErr w:type="spellEnd"/>
            <w:r w:rsidRPr="004D436C">
              <w:rPr>
                <w:rFonts w:cs="Arial"/>
                <w:b/>
                <w:bCs/>
                <w:color w:val="000000"/>
                <w:sz w:val="18"/>
                <w:szCs w:val="18"/>
              </w:rPr>
              <w:t xml:space="preserve"> </w:t>
            </w:r>
            <w:proofErr w:type="spellStart"/>
            <w:r w:rsidRPr="004D436C">
              <w:rPr>
                <w:rFonts w:cs="Arial"/>
                <w:b/>
                <w:bCs/>
                <w:color w:val="000000"/>
                <w:sz w:val="18"/>
                <w:szCs w:val="18"/>
              </w:rPr>
              <w:t>baterie</w:t>
            </w:r>
            <w:proofErr w:type="spellEnd"/>
          </w:p>
        </w:tc>
        <w:tc>
          <w:tcPr>
            <w:tcW w:w="1101" w:type="dxa"/>
            <w:gridSpan w:val="2"/>
            <w:tcBorders>
              <w:top w:val="single" w:sz="8" w:space="0" w:color="auto"/>
              <w:left w:val="nil"/>
              <w:bottom w:val="single" w:sz="8" w:space="0" w:color="auto"/>
              <w:right w:val="single" w:sz="4" w:space="0" w:color="auto"/>
            </w:tcBorders>
            <w:shd w:val="clear" w:color="auto" w:fill="auto"/>
            <w:noWrap/>
            <w:vAlign w:val="center"/>
            <w:hideMark/>
          </w:tcPr>
          <w:p w14:paraId="16C90FE1" w14:textId="77777777" w:rsidR="00560476" w:rsidRPr="004D436C" w:rsidRDefault="00560476" w:rsidP="0045029C">
            <w:pPr>
              <w:jc w:val="center"/>
              <w:rPr>
                <w:rFonts w:cs="Arial"/>
                <w:b/>
                <w:bCs/>
                <w:color w:val="000000"/>
                <w:sz w:val="18"/>
                <w:szCs w:val="18"/>
              </w:rPr>
            </w:pPr>
            <w:proofErr w:type="spellStart"/>
            <w:r w:rsidRPr="004D436C">
              <w:rPr>
                <w:rFonts w:cs="Arial"/>
                <w:b/>
                <w:bCs/>
                <w:color w:val="000000"/>
                <w:sz w:val="18"/>
                <w:szCs w:val="18"/>
              </w:rPr>
              <w:t>Výrobce</w:t>
            </w:r>
            <w:proofErr w:type="spellEnd"/>
            <w:r w:rsidRPr="004D436C">
              <w:rPr>
                <w:rFonts w:cs="Arial"/>
                <w:b/>
                <w:bCs/>
                <w:color w:val="000000"/>
                <w:sz w:val="18"/>
                <w:szCs w:val="18"/>
              </w:rPr>
              <w:t xml:space="preserve"> </w:t>
            </w:r>
          </w:p>
        </w:tc>
        <w:tc>
          <w:tcPr>
            <w:tcW w:w="1548" w:type="dxa"/>
            <w:gridSpan w:val="2"/>
            <w:tcBorders>
              <w:top w:val="single" w:sz="8" w:space="0" w:color="auto"/>
              <w:left w:val="nil"/>
              <w:bottom w:val="single" w:sz="8" w:space="0" w:color="auto"/>
              <w:right w:val="single" w:sz="4" w:space="0" w:color="auto"/>
            </w:tcBorders>
            <w:shd w:val="clear" w:color="auto" w:fill="auto"/>
            <w:noWrap/>
            <w:vAlign w:val="center"/>
            <w:hideMark/>
          </w:tcPr>
          <w:p w14:paraId="3A72DDEA" w14:textId="77777777" w:rsidR="00560476" w:rsidRPr="004D436C" w:rsidRDefault="00560476" w:rsidP="0045029C">
            <w:pPr>
              <w:jc w:val="center"/>
              <w:rPr>
                <w:rFonts w:cs="Arial"/>
                <w:b/>
                <w:bCs/>
                <w:color w:val="000000"/>
                <w:sz w:val="18"/>
                <w:szCs w:val="18"/>
              </w:rPr>
            </w:pPr>
            <w:proofErr w:type="spellStart"/>
            <w:r w:rsidRPr="004D436C">
              <w:rPr>
                <w:rFonts w:cs="Arial"/>
                <w:b/>
                <w:bCs/>
                <w:color w:val="000000"/>
                <w:sz w:val="18"/>
                <w:szCs w:val="18"/>
              </w:rPr>
              <w:t>Modelová</w:t>
            </w:r>
            <w:proofErr w:type="spellEnd"/>
            <w:r w:rsidRPr="004D436C">
              <w:rPr>
                <w:rFonts w:cs="Arial"/>
                <w:b/>
                <w:bCs/>
                <w:color w:val="000000"/>
                <w:sz w:val="18"/>
                <w:szCs w:val="18"/>
              </w:rPr>
              <w:t xml:space="preserve"> </w:t>
            </w:r>
            <w:proofErr w:type="spellStart"/>
            <w:r w:rsidRPr="004D436C">
              <w:rPr>
                <w:rFonts w:cs="Arial"/>
                <w:b/>
                <w:bCs/>
                <w:color w:val="000000"/>
                <w:sz w:val="18"/>
                <w:szCs w:val="18"/>
              </w:rPr>
              <w:t>řada</w:t>
            </w:r>
            <w:proofErr w:type="spellEnd"/>
            <w:r w:rsidRPr="004D436C">
              <w:rPr>
                <w:rFonts w:cs="Arial"/>
                <w:b/>
                <w:bCs/>
                <w:color w:val="000000"/>
                <w:sz w:val="18"/>
                <w:szCs w:val="18"/>
              </w:rPr>
              <w:t xml:space="preserve"> </w:t>
            </w:r>
          </w:p>
        </w:tc>
        <w:tc>
          <w:tcPr>
            <w:tcW w:w="4383" w:type="dxa"/>
            <w:gridSpan w:val="2"/>
            <w:tcBorders>
              <w:top w:val="single" w:sz="8" w:space="0" w:color="auto"/>
              <w:left w:val="nil"/>
              <w:bottom w:val="single" w:sz="8" w:space="0" w:color="auto"/>
              <w:right w:val="single" w:sz="4" w:space="0" w:color="auto"/>
            </w:tcBorders>
            <w:shd w:val="clear" w:color="auto" w:fill="auto"/>
            <w:noWrap/>
            <w:vAlign w:val="center"/>
            <w:hideMark/>
          </w:tcPr>
          <w:p w14:paraId="63B8362B" w14:textId="77777777" w:rsidR="00560476" w:rsidRPr="004D436C" w:rsidRDefault="00560476" w:rsidP="0045029C">
            <w:pPr>
              <w:jc w:val="center"/>
              <w:rPr>
                <w:rFonts w:cs="Arial"/>
                <w:b/>
                <w:bCs/>
                <w:color w:val="000000"/>
                <w:sz w:val="18"/>
                <w:szCs w:val="18"/>
              </w:rPr>
            </w:pPr>
            <w:proofErr w:type="spellStart"/>
            <w:r w:rsidRPr="004D436C">
              <w:rPr>
                <w:rFonts w:cs="Arial"/>
                <w:b/>
                <w:bCs/>
                <w:color w:val="000000"/>
                <w:sz w:val="18"/>
                <w:szCs w:val="18"/>
              </w:rPr>
              <w:t>Záruka</w:t>
            </w:r>
            <w:proofErr w:type="spellEnd"/>
            <w:r w:rsidRPr="004D436C">
              <w:rPr>
                <w:rFonts w:cs="Arial"/>
                <w:b/>
                <w:bCs/>
                <w:color w:val="000000"/>
                <w:sz w:val="18"/>
                <w:szCs w:val="18"/>
              </w:rPr>
              <w:t xml:space="preserve"> </w:t>
            </w:r>
            <w:proofErr w:type="spellStart"/>
            <w:r w:rsidRPr="004D436C">
              <w:rPr>
                <w:rFonts w:cs="Arial"/>
                <w:b/>
                <w:bCs/>
                <w:color w:val="000000"/>
                <w:sz w:val="18"/>
                <w:szCs w:val="18"/>
              </w:rPr>
              <w:t>nominální</w:t>
            </w:r>
            <w:proofErr w:type="spellEnd"/>
            <w:r w:rsidRPr="004D436C">
              <w:rPr>
                <w:rFonts w:cs="Arial"/>
                <w:b/>
                <w:bCs/>
                <w:color w:val="000000"/>
                <w:sz w:val="18"/>
                <w:szCs w:val="18"/>
              </w:rPr>
              <w:t xml:space="preserve"> </w:t>
            </w:r>
            <w:proofErr w:type="spellStart"/>
            <w:r w:rsidRPr="004D436C">
              <w:rPr>
                <w:rFonts w:cs="Arial"/>
                <w:b/>
                <w:bCs/>
                <w:color w:val="000000"/>
                <w:sz w:val="18"/>
                <w:szCs w:val="18"/>
              </w:rPr>
              <w:t>kapacity</w:t>
            </w:r>
            <w:proofErr w:type="spellEnd"/>
          </w:p>
        </w:tc>
        <w:tc>
          <w:tcPr>
            <w:tcW w:w="2237" w:type="dxa"/>
            <w:gridSpan w:val="2"/>
            <w:tcBorders>
              <w:top w:val="single" w:sz="8" w:space="0" w:color="auto"/>
              <w:left w:val="nil"/>
              <w:bottom w:val="single" w:sz="8" w:space="0" w:color="auto"/>
              <w:right w:val="single" w:sz="8" w:space="0" w:color="auto"/>
            </w:tcBorders>
            <w:shd w:val="clear" w:color="auto" w:fill="auto"/>
            <w:noWrap/>
            <w:vAlign w:val="center"/>
            <w:hideMark/>
          </w:tcPr>
          <w:p w14:paraId="2D02F97F" w14:textId="77777777" w:rsidR="00560476" w:rsidRPr="004D436C" w:rsidRDefault="00560476" w:rsidP="0045029C">
            <w:pPr>
              <w:jc w:val="center"/>
              <w:rPr>
                <w:rFonts w:cs="Arial"/>
                <w:b/>
                <w:bCs/>
                <w:color w:val="000000"/>
                <w:sz w:val="18"/>
                <w:szCs w:val="18"/>
              </w:rPr>
            </w:pPr>
            <w:proofErr w:type="spellStart"/>
            <w:r w:rsidRPr="004D436C">
              <w:rPr>
                <w:rFonts w:cs="Arial"/>
                <w:b/>
                <w:bCs/>
                <w:color w:val="000000"/>
                <w:sz w:val="18"/>
                <w:szCs w:val="18"/>
              </w:rPr>
              <w:t>Záruka</w:t>
            </w:r>
            <w:proofErr w:type="spellEnd"/>
            <w:r w:rsidRPr="004D436C">
              <w:rPr>
                <w:rFonts w:cs="Arial"/>
                <w:b/>
                <w:bCs/>
                <w:color w:val="000000"/>
                <w:sz w:val="18"/>
                <w:szCs w:val="18"/>
              </w:rPr>
              <w:t xml:space="preserve"> na </w:t>
            </w:r>
            <w:proofErr w:type="spellStart"/>
            <w:r w:rsidRPr="004D436C">
              <w:rPr>
                <w:rFonts w:cs="Arial"/>
                <w:b/>
                <w:bCs/>
                <w:color w:val="000000"/>
                <w:sz w:val="18"/>
                <w:szCs w:val="18"/>
              </w:rPr>
              <w:t>komponenty</w:t>
            </w:r>
            <w:proofErr w:type="spellEnd"/>
            <w:r w:rsidRPr="004D436C">
              <w:rPr>
                <w:rFonts w:cs="Arial"/>
                <w:b/>
                <w:bCs/>
                <w:color w:val="000000"/>
                <w:sz w:val="18"/>
                <w:szCs w:val="18"/>
              </w:rPr>
              <w:t xml:space="preserve"> </w:t>
            </w:r>
            <w:proofErr w:type="spellStart"/>
            <w:r w:rsidRPr="004D436C">
              <w:rPr>
                <w:rFonts w:cs="Arial"/>
                <w:b/>
                <w:bCs/>
                <w:color w:val="000000"/>
                <w:sz w:val="18"/>
                <w:szCs w:val="18"/>
              </w:rPr>
              <w:t>baterie</w:t>
            </w:r>
            <w:proofErr w:type="spellEnd"/>
          </w:p>
        </w:tc>
      </w:tr>
      <w:tr w:rsidR="00560476" w:rsidRPr="004D436C" w14:paraId="57EBEC09" w14:textId="77777777" w:rsidTr="004823B7">
        <w:trPr>
          <w:gridAfter w:val="1"/>
          <w:wAfter w:w="188" w:type="dxa"/>
          <w:trHeight w:val="1080"/>
        </w:trPr>
        <w:tc>
          <w:tcPr>
            <w:tcW w:w="941" w:type="dxa"/>
            <w:tcBorders>
              <w:top w:val="nil"/>
              <w:left w:val="single" w:sz="8" w:space="0" w:color="auto"/>
              <w:bottom w:val="single" w:sz="8" w:space="0" w:color="auto"/>
              <w:right w:val="single" w:sz="4" w:space="0" w:color="auto"/>
            </w:tcBorders>
            <w:shd w:val="clear" w:color="000000" w:fill="E2EFDA"/>
            <w:noWrap/>
            <w:vAlign w:val="center"/>
            <w:hideMark/>
          </w:tcPr>
          <w:p w14:paraId="7F607D1F" w14:textId="77777777" w:rsidR="00560476" w:rsidRPr="004D436C" w:rsidRDefault="00560476" w:rsidP="0045029C">
            <w:pPr>
              <w:jc w:val="center"/>
              <w:rPr>
                <w:rFonts w:cs="Arial"/>
                <w:b/>
                <w:bCs/>
                <w:color w:val="000000"/>
                <w:sz w:val="18"/>
                <w:szCs w:val="18"/>
              </w:rPr>
            </w:pPr>
            <w:r w:rsidRPr="004D436C">
              <w:rPr>
                <w:rFonts w:cs="Arial"/>
                <w:b/>
                <w:bCs/>
                <w:color w:val="000000"/>
                <w:sz w:val="18"/>
                <w:szCs w:val="18"/>
              </w:rPr>
              <w:t>24V</w:t>
            </w:r>
          </w:p>
        </w:tc>
        <w:tc>
          <w:tcPr>
            <w:tcW w:w="1101" w:type="dxa"/>
            <w:gridSpan w:val="2"/>
            <w:tcBorders>
              <w:top w:val="nil"/>
              <w:left w:val="nil"/>
              <w:bottom w:val="single" w:sz="8" w:space="0" w:color="auto"/>
              <w:right w:val="single" w:sz="4" w:space="0" w:color="auto"/>
            </w:tcBorders>
            <w:shd w:val="clear" w:color="000000" w:fill="E2EFDA"/>
            <w:noWrap/>
            <w:vAlign w:val="center"/>
            <w:hideMark/>
          </w:tcPr>
          <w:p w14:paraId="33AD064C" w14:textId="77777777" w:rsidR="00560476" w:rsidRPr="004D436C" w:rsidRDefault="00560476" w:rsidP="0045029C">
            <w:pPr>
              <w:jc w:val="center"/>
              <w:rPr>
                <w:rFonts w:cs="Arial"/>
                <w:b/>
                <w:bCs/>
                <w:color w:val="000000"/>
                <w:sz w:val="18"/>
                <w:szCs w:val="18"/>
              </w:rPr>
            </w:pPr>
            <w:r w:rsidRPr="004D436C">
              <w:rPr>
                <w:rFonts w:cs="Arial"/>
                <w:b/>
                <w:bCs/>
                <w:color w:val="000000"/>
                <w:sz w:val="18"/>
                <w:szCs w:val="18"/>
              </w:rPr>
              <w:t>KBS</w:t>
            </w:r>
          </w:p>
        </w:tc>
        <w:tc>
          <w:tcPr>
            <w:tcW w:w="1548" w:type="dxa"/>
            <w:gridSpan w:val="2"/>
            <w:tcBorders>
              <w:top w:val="nil"/>
              <w:left w:val="nil"/>
              <w:bottom w:val="single" w:sz="8" w:space="0" w:color="auto"/>
              <w:right w:val="single" w:sz="4" w:space="0" w:color="auto"/>
            </w:tcBorders>
            <w:shd w:val="clear" w:color="000000" w:fill="E2EFDA"/>
            <w:noWrap/>
            <w:vAlign w:val="center"/>
            <w:hideMark/>
          </w:tcPr>
          <w:p w14:paraId="0FD76B27" w14:textId="77777777" w:rsidR="00560476" w:rsidRPr="004D436C" w:rsidRDefault="00560476" w:rsidP="0045029C">
            <w:pPr>
              <w:jc w:val="center"/>
              <w:rPr>
                <w:rFonts w:cs="Arial"/>
                <w:b/>
                <w:bCs/>
                <w:color w:val="000000"/>
                <w:sz w:val="18"/>
                <w:szCs w:val="18"/>
              </w:rPr>
            </w:pPr>
            <w:r w:rsidRPr="004D436C">
              <w:rPr>
                <w:rFonts w:cs="Arial"/>
                <w:b/>
                <w:bCs/>
                <w:color w:val="000000"/>
                <w:sz w:val="18"/>
                <w:szCs w:val="18"/>
              </w:rPr>
              <w:t>X-line</w:t>
            </w:r>
          </w:p>
        </w:tc>
        <w:tc>
          <w:tcPr>
            <w:tcW w:w="4383" w:type="dxa"/>
            <w:gridSpan w:val="2"/>
            <w:tcBorders>
              <w:top w:val="nil"/>
              <w:left w:val="nil"/>
              <w:bottom w:val="single" w:sz="8" w:space="0" w:color="auto"/>
              <w:right w:val="single" w:sz="4" w:space="0" w:color="auto"/>
            </w:tcBorders>
            <w:shd w:val="clear" w:color="000000" w:fill="E2EFDA"/>
            <w:vAlign w:val="center"/>
            <w:hideMark/>
          </w:tcPr>
          <w:p w14:paraId="56366CF7" w14:textId="77777777" w:rsidR="00560476" w:rsidRPr="004D436C" w:rsidRDefault="00560476" w:rsidP="0045029C">
            <w:pPr>
              <w:rPr>
                <w:rFonts w:cs="Arial"/>
                <w:color w:val="000000"/>
                <w:sz w:val="18"/>
                <w:szCs w:val="18"/>
              </w:rPr>
            </w:pPr>
            <w:r w:rsidRPr="004D436C">
              <w:rPr>
                <w:rFonts w:cs="Arial"/>
                <w:color w:val="000000"/>
                <w:sz w:val="18"/>
                <w:szCs w:val="18"/>
              </w:rPr>
              <w:t xml:space="preserve">70 % </w:t>
            </w:r>
            <w:proofErr w:type="spellStart"/>
            <w:r w:rsidRPr="004D436C">
              <w:rPr>
                <w:rFonts w:cs="Arial"/>
                <w:color w:val="000000"/>
                <w:sz w:val="18"/>
                <w:szCs w:val="18"/>
              </w:rPr>
              <w:t>po</w:t>
            </w:r>
            <w:proofErr w:type="spellEnd"/>
            <w:r w:rsidRPr="004D436C">
              <w:rPr>
                <w:rFonts w:cs="Arial"/>
                <w:color w:val="000000"/>
                <w:sz w:val="18"/>
                <w:szCs w:val="18"/>
              </w:rPr>
              <w:t xml:space="preserve"> 4 </w:t>
            </w:r>
            <w:proofErr w:type="spellStart"/>
            <w:r w:rsidRPr="004D436C">
              <w:rPr>
                <w:rFonts w:cs="Arial"/>
                <w:color w:val="000000"/>
                <w:sz w:val="18"/>
                <w:szCs w:val="18"/>
              </w:rPr>
              <w:t>letech</w:t>
            </w:r>
            <w:proofErr w:type="spellEnd"/>
            <w:r w:rsidRPr="004D436C">
              <w:rPr>
                <w:rFonts w:cs="Arial"/>
                <w:color w:val="000000"/>
                <w:sz w:val="18"/>
                <w:szCs w:val="18"/>
              </w:rPr>
              <w:t xml:space="preserve"> </w:t>
            </w:r>
            <w:proofErr w:type="spellStart"/>
            <w:r w:rsidRPr="004D436C">
              <w:rPr>
                <w:rFonts w:cs="Arial"/>
                <w:color w:val="000000"/>
                <w:sz w:val="18"/>
                <w:szCs w:val="18"/>
              </w:rPr>
              <w:t>nebo</w:t>
            </w:r>
            <w:proofErr w:type="spellEnd"/>
            <w:r w:rsidRPr="004D436C">
              <w:rPr>
                <w:rFonts w:cs="Arial"/>
                <w:color w:val="000000"/>
                <w:sz w:val="18"/>
                <w:szCs w:val="18"/>
              </w:rPr>
              <w:t xml:space="preserve"> 1500 </w:t>
            </w:r>
            <w:proofErr w:type="spellStart"/>
            <w:r w:rsidRPr="004D436C">
              <w:rPr>
                <w:rFonts w:cs="Arial"/>
                <w:color w:val="000000"/>
                <w:sz w:val="18"/>
                <w:szCs w:val="18"/>
              </w:rPr>
              <w:t>plných</w:t>
            </w:r>
            <w:proofErr w:type="spellEnd"/>
            <w:r w:rsidRPr="004D436C">
              <w:rPr>
                <w:rFonts w:cs="Arial"/>
                <w:color w:val="000000"/>
                <w:sz w:val="18"/>
                <w:szCs w:val="18"/>
              </w:rPr>
              <w:t xml:space="preserve"> </w:t>
            </w:r>
            <w:proofErr w:type="spellStart"/>
            <w:r w:rsidRPr="004D436C">
              <w:rPr>
                <w:rFonts w:cs="Arial"/>
                <w:color w:val="000000"/>
                <w:sz w:val="18"/>
                <w:szCs w:val="18"/>
              </w:rPr>
              <w:t>nabíjecích</w:t>
            </w:r>
            <w:proofErr w:type="spellEnd"/>
            <w:r w:rsidRPr="004D436C">
              <w:rPr>
                <w:rFonts w:cs="Arial"/>
                <w:color w:val="000000"/>
                <w:sz w:val="18"/>
                <w:szCs w:val="18"/>
              </w:rPr>
              <w:t xml:space="preserve"> </w:t>
            </w:r>
            <w:proofErr w:type="spellStart"/>
            <w:r w:rsidRPr="004D436C">
              <w:rPr>
                <w:rFonts w:cs="Arial"/>
                <w:color w:val="000000"/>
                <w:sz w:val="18"/>
                <w:szCs w:val="18"/>
              </w:rPr>
              <w:t>cyklech</w:t>
            </w:r>
            <w:proofErr w:type="spellEnd"/>
            <w:r w:rsidRPr="004D436C">
              <w:rPr>
                <w:rFonts w:cs="Arial"/>
                <w:color w:val="000000"/>
                <w:sz w:val="18"/>
                <w:szCs w:val="18"/>
              </w:rPr>
              <w:t xml:space="preserve">. </w:t>
            </w:r>
            <w:proofErr w:type="spellStart"/>
            <w:r w:rsidRPr="004D436C">
              <w:rPr>
                <w:rFonts w:cs="Arial"/>
                <w:color w:val="000000"/>
                <w:sz w:val="18"/>
                <w:szCs w:val="18"/>
              </w:rPr>
              <w:t>Dle</w:t>
            </w:r>
            <w:proofErr w:type="spellEnd"/>
            <w:r w:rsidRPr="004D436C">
              <w:rPr>
                <w:rFonts w:cs="Arial"/>
                <w:color w:val="000000"/>
                <w:sz w:val="18"/>
                <w:szCs w:val="18"/>
              </w:rPr>
              <w:t xml:space="preserve"> </w:t>
            </w:r>
            <w:proofErr w:type="spellStart"/>
            <w:r w:rsidRPr="004D436C">
              <w:rPr>
                <w:rFonts w:cs="Arial"/>
                <w:color w:val="000000"/>
                <w:sz w:val="18"/>
                <w:szCs w:val="18"/>
              </w:rPr>
              <w:t>toho</w:t>
            </w:r>
            <w:proofErr w:type="spellEnd"/>
            <w:r w:rsidRPr="004D436C">
              <w:rPr>
                <w:rFonts w:cs="Arial"/>
                <w:color w:val="000000"/>
                <w:sz w:val="18"/>
                <w:szCs w:val="18"/>
              </w:rPr>
              <w:t xml:space="preserve"> </w:t>
            </w:r>
            <w:proofErr w:type="spellStart"/>
            <w:r w:rsidRPr="004D436C">
              <w:rPr>
                <w:rFonts w:cs="Arial"/>
                <w:color w:val="000000"/>
                <w:sz w:val="18"/>
                <w:szCs w:val="18"/>
              </w:rPr>
              <w:t>co</w:t>
            </w:r>
            <w:proofErr w:type="spellEnd"/>
            <w:r w:rsidRPr="004D436C">
              <w:rPr>
                <w:rFonts w:cs="Arial"/>
                <w:color w:val="000000"/>
                <w:sz w:val="18"/>
                <w:szCs w:val="18"/>
              </w:rPr>
              <w:t xml:space="preserve"> </w:t>
            </w:r>
            <w:proofErr w:type="spellStart"/>
            <w:r w:rsidRPr="004D436C">
              <w:rPr>
                <w:rFonts w:cs="Arial"/>
                <w:color w:val="000000"/>
                <w:sz w:val="18"/>
                <w:szCs w:val="18"/>
              </w:rPr>
              <w:t>nastane</w:t>
            </w:r>
            <w:proofErr w:type="spellEnd"/>
            <w:r w:rsidRPr="004D436C">
              <w:rPr>
                <w:rFonts w:cs="Arial"/>
                <w:color w:val="000000"/>
                <w:sz w:val="18"/>
                <w:szCs w:val="18"/>
              </w:rPr>
              <w:t xml:space="preserve"> </w:t>
            </w:r>
            <w:proofErr w:type="spellStart"/>
            <w:r w:rsidRPr="004D436C">
              <w:rPr>
                <w:rFonts w:cs="Arial"/>
                <w:color w:val="000000"/>
                <w:sz w:val="18"/>
                <w:szCs w:val="18"/>
              </w:rPr>
              <w:t>dříve</w:t>
            </w:r>
            <w:proofErr w:type="spellEnd"/>
            <w:r w:rsidRPr="004D436C">
              <w:rPr>
                <w:rFonts w:cs="Arial"/>
                <w:color w:val="000000"/>
                <w:sz w:val="18"/>
                <w:szCs w:val="18"/>
              </w:rPr>
              <w:t>.</w:t>
            </w:r>
          </w:p>
        </w:tc>
        <w:tc>
          <w:tcPr>
            <w:tcW w:w="2237" w:type="dxa"/>
            <w:gridSpan w:val="2"/>
            <w:tcBorders>
              <w:top w:val="nil"/>
              <w:left w:val="nil"/>
              <w:bottom w:val="single" w:sz="8" w:space="0" w:color="auto"/>
              <w:right w:val="single" w:sz="8" w:space="0" w:color="auto"/>
            </w:tcBorders>
            <w:shd w:val="clear" w:color="000000" w:fill="E2EFDA"/>
            <w:vAlign w:val="center"/>
            <w:hideMark/>
          </w:tcPr>
          <w:p w14:paraId="00FF299C" w14:textId="77777777" w:rsidR="00560476" w:rsidRPr="004D436C" w:rsidRDefault="00560476" w:rsidP="0045029C">
            <w:pPr>
              <w:rPr>
                <w:rFonts w:cs="Arial"/>
                <w:color w:val="000000"/>
                <w:sz w:val="18"/>
                <w:szCs w:val="18"/>
              </w:rPr>
            </w:pPr>
            <w:proofErr w:type="spellStart"/>
            <w:r w:rsidRPr="004D436C">
              <w:rPr>
                <w:rFonts w:cs="Arial"/>
                <w:color w:val="000000"/>
                <w:sz w:val="18"/>
                <w:szCs w:val="18"/>
              </w:rPr>
              <w:t>Plná</w:t>
            </w:r>
            <w:proofErr w:type="spellEnd"/>
            <w:r w:rsidRPr="004D436C">
              <w:rPr>
                <w:rFonts w:cs="Arial"/>
                <w:color w:val="000000"/>
                <w:sz w:val="18"/>
                <w:szCs w:val="18"/>
              </w:rPr>
              <w:t xml:space="preserve"> </w:t>
            </w:r>
            <w:proofErr w:type="spellStart"/>
            <w:r w:rsidRPr="004D436C">
              <w:rPr>
                <w:rFonts w:cs="Arial"/>
                <w:color w:val="000000"/>
                <w:sz w:val="18"/>
                <w:szCs w:val="18"/>
              </w:rPr>
              <w:t>záruka</w:t>
            </w:r>
            <w:proofErr w:type="spellEnd"/>
            <w:r w:rsidRPr="004D436C">
              <w:rPr>
                <w:rFonts w:cs="Arial"/>
                <w:color w:val="000000"/>
                <w:sz w:val="18"/>
                <w:szCs w:val="18"/>
              </w:rPr>
              <w:t xml:space="preserve"> </w:t>
            </w:r>
            <w:proofErr w:type="spellStart"/>
            <w:r w:rsidRPr="004D436C">
              <w:rPr>
                <w:rFonts w:cs="Arial"/>
                <w:color w:val="000000"/>
                <w:sz w:val="18"/>
                <w:szCs w:val="18"/>
              </w:rPr>
              <w:t>po</w:t>
            </w:r>
            <w:proofErr w:type="spellEnd"/>
            <w:r w:rsidRPr="004D436C">
              <w:rPr>
                <w:rFonts w:cs="Arial"/>
                <w:color w:val="000000"/>
                <w:sz w:val="18"/>
                <w:szCs w:val="18"/>
              </w:rPr>
              <w:t xml:space="preserve"> </w:t>
            </w:r>
            <w:proofErr w:type="spellStart"/>
            <w:r w:rsidRPr="004D436C">
              <w:rPr>
                <w:rFonts w:cs="Arial"/>
                <w:color w:val="000000"/>
                <w:sz w:val="18"/>
                <w:szCs w:val="18"/>
              </w:rPr>
              <w:t>dobu</w:t>
            </w:r>
            <w:proofErr w:type="spellEnd"/>
            <w:r w:rsidRPr="004D436C">
              <w:rPr>
                <w:rFonts w:cs="Arial"/>
                <w:color w:val="000000"/>
                <w:sz w:val="18"/>
                <w:szCs w:val="18"/>
              </w:rPr>
              <w:t xml:space="preserve"> 4 </w:t>
            </w:r>
            <w:proofErr w:type="spellStart"/>
            <w:r w:rsidRPr="004D436C">
              <w:rPr>
                <w:rFonts w:cs="Arial"/>
                <w:color w:val="000000"/>
                <w:sz w:val="18"/>
                <w:szCs w:val="18"/>
              </w:rPr>
              <w:t>let</w:t>
            </w:r>
            <w:proofErr w:type="spellEnd"/>
            <w:r w:rsidRPr="004D436C">
              <w:rPr>
                <w:rFonts w:cs="Arial"/>
                <w:color w:val="000000"/>
                <w:sz w:val="18"/>
                <w:szCs w:val="18"/>
              </w:rPr>
              <w:t xml:space="preserve"> </w:t>
            </w:r>
            <w:proofErr w:type="spellStart"/>
            <w:r w:rsidRPr="004D436C">
              <w:rPr>
                <w:rFonts w:cs="Arial"/>
                <w:color w:val="000000"/>
                <w:sz w:val="18"/>
                <w:szCs w:val="18"/>
              </w:rPr>
              <w:t>nebo</w:t>
            </w:r>
            <w:proofErr w:type="spellEnd"/>
            <w:r w:rsidRPr="004D436C">
              <w:rPr>
                <w:rFonts w:cs="Arial"/>
                <w:color w:val="000000"/>
                <w:sz w:val="18"/>
                <w:szCs w:val="18"/>
              </w:rPr>
              <w:t xml:space="preserve"> max. 1500 </w:t>
            </w:r>
            <w:proofErr w:type="spellStart"/>
            <w:r w:rsidRPr="004D436C">
              <w:rPr>
                <w:rFonts w:cs="Arial"/>
                <w:color w:val="000000"/>
                <w:sz w:val="18"/>
                <w:szCs w:val="18"/>
              </w:rPr>
              <w:t>plných</w:t>
            </w:r>
            <w:proofErr w:type="spellEnd"/>
            <w:r w:rsidRPr="004D436C">
              <w:rPr>
                <w:rFonts w:cs="Arial"/>
                <w:color w:val="000000"/>
                <w:sz w:val="18"/>
                <w:szCs w:val="18"/>
              </w:rPr>
              <w:t xml:space="preserve"> </w:t>
            </w:r>
            <w:proofErr w:type="spellStart"/>
            <w:r w:rsidRPr="004D436C">
              <w:rPr>
                <w:rFonts w:cs="Arial"/>
                <w:color w:val="000000"/>
                <w:sz w:val="18"/>
                <w:szCs w:val="18"/>
              </w:rPr>
              <w:t>nabíjecích</w:t>
            </w:r>
            <w:proofErr w:type="spellEnd"/>
            <w:r w:rsidRPr="004D436C">
              <w:rPr>
                <w:rFonts w:cs="Arial"/>
                <w:color w:val="000000"/>
                <w:sz w:val="18"/>
                <w:szCs w:val="18"/>
              </w:rPr>
              <w:t xml:space="preserve"> </w:t>
            </w:r>
            <w:proofErr w:type="spellStart"/>
            <w:r w:rsidRPr="004D436C">
              <w:rPr>
                <w:rFonts w:cs="Arial"/>
                <w:color w:val="000000"/>
                <w:sz w:val="18"/>
                <w:szCs w:val="18"/>
              </w:rPr>
              <w:t>cyklů</w:t>
            </w:r>
            <w:proofErr w:type="spellEnd"/>
            <w:r w:rsidRPr="004D436C">
              <w:rPr>
                <w:rFonts w:cs="Arial"/>
                <w:color w:val="000000"/>
                <w:sz w:val="18"/>
                <w:szCs w:val="18"/>
              </w:rPr>
              <w:t xml:space="preserve">. </w:t>
            </w:r>
            <w:proofErr w:type="spellStart"/>
            <w:r w:rsidRPr="004D436C">
              <w:rPr>
                <w:rFonts w:cs="Arial"/>
                <w:color w:val="000000"/>
                <w:sz w:val="18"/>
                <w:szCs w:val="18"/>
              </w:rPr>
              <w:t>Dle</w:t>
            </w:r>
            <w:proofErr w:type="spellEnd"/>
            <w:r w:rsidRPr="004D436C">
              <w:rPr>
                <w:rFonts w:cs="Arial"/>
                <w:color w:val="000000"/>
                <w:sz w:val="18"/>
                <w:szCs w:val="18"/>
              </w:rPr>
              <w:t xml:space="preserve"> </w:t>
            </w:r>
            <w:proofErr w:type="spellStart"/>
            <w:r w:rsidRPr="004D436C">
              <w:rPr>
                <w:rFonts w:cs="Arial"/>
                <w:color w:val="000000"/>
                <w:sz w:val="18"/>
                <w:szCs w:val="18"/>
              </w:rPr>
              <w:t>toho</w:t>
            </w:r>
            <w:proofErr w:type="spellEnd"/>
            <w:r w:rsidRPr="004D436C">
              <w:rPr>
                <w:rFonts w:cs="Arial"/>
                <w:color w:val="000000"/>
                <w:sz w:val="18"/>
                <w:szCs w:val="18"/>
              </w:rPr>
              <w:t xml:space="preserve"> </w:t>
            </w:r>
            <w:proofErr w:type="spellStart"/>
            <w:r w:rsidRPr="004D436C">
              <w:rPr>
                <w:rFonts w:cs="Arial"/>
                <w:color w:val="000000"/>
                <w:sz w:val="18"/>
                <w:szCs w:val="18"/>
              </w:rPr>
              <w:t>co</w:t>
            </w:r>
            <w:proofErr w:type="spellEnd"/>
            <w:r w:rsidRPr="004D436C">
              <w:rPr>
                <w:rFonts w:cs="Arial"/>
                <w:color w:val="000000"/>
                <w:sz w:val="18"/>
                <w:szCs w:val="18"/>
              </w:rPr>
              <w:t xml:space="preserve"> </w:t>
            </w:r>
            <w:proofErr w:type="spellStart"/>
            <w:r w:rsidRPr="004D436C">
              <w:rPr>
                <w:rFonts w:cs="Arial"/>
                <w:color w:val="000000"/>
                <w:sz w:val="18"/>
                <w:szCs w:val="18"/>
              </w:rPr>
              <w:t>nastane</w:t>
            </w:r>
            <w:proofErr w:type="spellEnd"/>
            <w:r w:rsidRPr="004D436C">
              <w:rPr>
                <w:rFonts w:cs="Arial"/>
                <w:color w:val="000000"/>
                <w:sz w:val="18"/>
                <w:szCs w:val="18"/>
              </w:rPr>
              <w:t xml:space="preserve"> </w:t>
            </w:r>
            <w:proofErr w:type="spellStart"/>
            <w:r w:rsidRPr="004D436C">
              <w:rPr>
                <w:rFonts w:cs="Arial"/>
                <w:color w:val="000000"/>
                <w:sz w:val="18"/>
                <w:szCs w:val="18"/>
              </w:rPr>
              <w:t>dříve</w:t>
            </w:r>
            <w:proofErr w:type="spellEnd"/>
            <w:r w:rsidRPr="004D436C">
              <w:rPr>
                <w:rFonts w:cs="Arial"/>
                <w:color w:val="000000"/>
                <w:sz w:val="18"/>
                <w:szCs w:val="18"/>
              </w:rPr>
              <w:t xml:space="preserve">. </w:t>
            </w:r>
            <w:proofErr w:type="spellStart"/>
            <w:r w:rsidRPr="004D436C">
              <w:rPr>
                <w:rFonts w:cs="Arial"/>
                <w:color w:val="000000"/>
                <w:sz w:val="18"/>
                <w:szCs w:val="18"/>
              </w:rPr>
              <w:t>Záruka</w:t>
            </w:r>
            <w:proofErr w:type="spellEnd"/>
            <w:r w:rsidRPr="004D436C">
              <w:rPr>
                <w:rFonts w:cs="Arial"/>
                <w:color w:val="000000"/>
                <w:sz w:val="18"/>
                <w:szCs w:val="18"/>
              </w:rPr>
              <w:t xml:space="preserve"> se </w:t>
            </w:r>
            <w:proofErr w:type="spellStart"/>
            <w:r w:rsidRPr="004D436C">
              <w:rPr>
                <w:rFonts w:cs="Arial"/>
                <w:color w:val="000000"/>
                <w:sz w:val="18"/>
                <w:szCs w:val="18"/>
              </w:rPr>
              <w:t>nevztahuje</w:t>
            </w:r>
            <w:proofErr w:type="spellEnd"/>
            <w:r w:rsidRPr="004D436C">
              <w:rPr>
                <w:rFonts w:cs="Arial"/>
                <w:color w:val="000000"/>
                <w:sz w:val="18"/>
                <w:szCs w:val="18"/>
              </w:rPr>
              <w:t xml:space="preserve"> se na </w:t>
            </w:r>
            <w:proofErr w:type="spellStart"/>
            <w:r w:rsidRPr="004D436C">
              <w:rPr>
                <w:rFonts w:cs="Arial"/>
                <w:color w:val="000000"/>
                <w:sz w:val="18"/>
                <w:szCs w:val="18"/>
              </w:rPr>
              <w:t>silový</w:t>
            </w:r>
            <w:proofErr w:type="spellEnd"/>
            <w:r w:rsidRPr="004D436C">
              <w:rPr>
                <w:rFonts w:cs="Arial"/>
                <w:color w:val="000000"/>
                <w:sz w:val="18"/>
                <w:szCs w:val="18"/>
              </w:rPr>
              <w:t xml:space="preserve"> a </w:t>
            </w:r>
            <w:proofErr w:type="spellStart"/>
            <w:r w:rsidRPr="004D436C">
              <w:rPr>
                <w:rFonts w:cs="Arial"/>
                <w:color w:val="000000"/>
                <w:sz w:val="18"/>
                <w:szCs w:val="18"/>
              </w:rPr>
              <w:t>diagnostický</w:t>
            </w:r>
            <w:proofErr w:type="spellEnd"/>
            <w:r w:rsidRPr="004D436C">
              <w:rPr>
                <w:rFonts w:cs="Arial"/>
                <w:color w:val="000000"/>
                <w:sz w:val="18"/>
                <w:szCs w:val="18"/>
              </w:rPr>
              <w:t xml:space="preserve"> </w:t>
            </w:r>
            <w:proofErr w:type="spellStart"/>
            <w:r w:rsidRPr="004D436C">
              <w:rPr>
                <w:rFonts w:cs="Arial"/>
                <w:color w:val="000000"/>
                <w:sz w:val="18"/>
                <w:szCs w:val="18"/>
              </w:rPr>
              <w:t>připojovací</w:t>
            </w:r>
            <w:proofErr w:type="spellEnd"/>
            <w:r w:rsidRPr="004D436C">
              <w:rPr>
                <w:rFonts w:cs="Arial"/>
                <w:color w:val="000000"/>
                <w:sz w:val="18"/>
                <w:szCs w:val="18"/>
              </w:rPr>
              <w:t xml:space="preserve"> </w:t>
            </w:r>
            <w:proofErr w:type="spellStart"/>
            <w:r w:rsidRPr="004D436C">
              <w:rPr>
                <w:rFonts w:cs="Arial"/>
                <w:color w:val="000000"/>
                <w:sz w:val="18"/>
                <w:szCs w:val="18"/>
              </w:rPr>
              <w:t>kabel</w:t>
            </w:r>
            <w:proofErr w:type="spellEnd"/>
            <w:r w:rsidRPr="004D436C">
              <w:rPr>
                <w:rFonts w:cs="Arial"/>
                <w:color w:val="000000"/>
                <w:sz w:val="18"/>
                <w:szCs w:val="18"/>
              </w:rPr>
              <w:t xml:space="preserve"> a +/- </w:t>
            </w:r>
            <w:proofErr w:type="spellStart"/>
            <w:r w:rsidRPr="004D436C">
              <w:rPr>
                <w:rFonts w:cs="Arial"/>
                <w:color w:val="000000"/>
                <w:sz w:val="18"/>
                <w:szCs w:val="18"/>
              </w:rPr>
              <w:t>konektory</w:t>
            </w:r>
            <w:proofErr w:type="spellEnd"/>
            <w:r w:rsidRPr="004D436C">
              <w:rPr>
                <w:rFonts w:cs="Arial"/>
                <w:color w:val="000000"/>
                <w:sz w:val="18"/>
                <w:szCs w:val="18"/>
              </w:rPr>
              <w:t xml:space="preserve"> </w:t>
            </w:r>
            <w:proofErr w:type="spellStart"/>
            <w:r w:rsidRPr="004D436C">
              <w:rPr>
                <w:rFonts w:cs="Arial"/>
                <w:color w:val="000000"/>
                <w:sz w:val="18"/>
                <w:szCs w:val="18"/>
              </w:rPr>
              <w:t>baterie</w:t>
            </w:r>
            <w:proofErr w:type="spellEnd"/>
          </w:p>
        </w:tc>
      </w:tr>
      <w:tr w:rsidR="00560476" w:rsidRPr="004D436C" w14:paraId="07FC9963" w14:textId="77777777" w:rsidTr="004823B7">
        <w:trPr>
          <w:gridAfter w:val="1"/>
          <w:wAfter w:w="188" w:type="dxa"/>
          <w:trHeight w:val="1080"/>
        </w:trPr>
        <w:tc>
          <w:tcPr>
            <w:tcW w:w="941" w:type="dxa"/>
            <w:tcBorders>
              <w:top w:val="nil"/>
              <w:left w:val="single" w:sz="8" w:space="0" w:color="auto"/>
              <w:bottom w:val="single" w:sz="4" w:space="0" w:color="auto"/>
              <w:right w:val="single" w:sz="4" w:space="0" w:color="auto"/>
            </w:tcBorders>
            <w:shd w:val="clear" w:color="000000" w:fill="FFF2CC"/>
            <w:noWrap/>
            <w:vAlign w:val="center"/>
            <w:hideMark/>
          </w:tcPr>
          <w:p w14:paraId="10CAEF1D" w14:textId="77777777" w:rsidR="00560476" w:rsidRPr="004D436C" w:rsidRDefault="00560476" w:rsidP="0045029C">
            <w:pPr>
              <w:jc w:val="center"/>
              <w:rPr>
                <w:rFonts w:cs="Arial"/>
                <w:b/>
                <w:bCs/>
                <w:color w:val="000000"/>
                <w:sz w:val="18"/>
                <w:szCs w:val="18"/>
              </w:rPr>
            </w:pPr>
            <w:r w:rsidRPr="004D436C">
              <w:rPr>
                <w:rFonts w:cs="Arial"/>
                <w:b/>
                <w:bCs/>
                <w:color w:val="000000"/>
                <w:sz w:val="18"/>
                <w:szCs w:val="18"/>
              </w:rPr>
              <w:t>48V</w:t>
            </w:r>
          </w:p>
        </w:tc>
        <w:tc>
          <w:tcPr>
            <w:tcW w:w="1101" w:type="dxa"/>
            <w:gridSpan w:val="2"/>
            <w:tcBorders>
              <w:top w:val="nil"/>
              <w:left w:val="nil"/>
              <w:bottom w:val="single" w:sz="4" w:space="0" w:color="auto"/>
              <w:right w:val="single" w:sz="4" w:space="0" w:color="auto"/>
            </w:tcBorders>
            <w:shd w:val="clear" w:color="000000" w:fill="FFF2CC"/>
            <w:noWrap/>
            <w:vAlign w:val="center"/>
            <w:hideMark/>
          </w:tcPr>
          <w:p w14:paraId="5443E24F" w14:textId="77777777" w:rsidR="00560476" w:rsidRPr="004D436C" w:rsidRDefault="00560476" w:rsidP="0045029C">
            <w:pPr>
              <w:jc w:val="center"/>
              <w:rPr>
                <w:rFonts w:cs="Arial"/>
                <w:b/>
                <w:bCs/>
                <w:color w:val="000000"/>
                <w:sz w:val="18"/>
                <w:szCs w:val="18"/>
              </w:rPr>
            </w:pPr>
            <w:r w:rsidRPr="004D436C">
              <w:rPr>
                <w:rFonts w:cs="Arial"/>
                <w:b/>
                <w:bCs/>
                <w:color w:val="000000"/>
                <w:sz w:val="18"/>
                <w:szCs w:val="18"/>
              </w:rPr>
              <w:t>KBS</w:t>
            </w:r>
          </w:p>
        </w:tc>
        <w:tc>
          <w:tcPr>
            <w:tcW w:w="1548" w:type="dxa"/>
            <w:gridSpan w:val="2"/>
            <w:tcBorders>
              <w:top w:val="nil"/>
              <w:left w:val="nil"/>
              <w:bottom w:val="single" w:sz="4" w:space="0" w:color="auto"/>
              <w:right w:val="single" w:sz="4" w:space="0" w:color="auto"/>
            </w:tcBorders>
            <w:shd w:val="clear" w:color="000000" w:fill="FFF2CC"/>
            <w:noWrap/>
            <w:vAlign w:val="center"/>
            <w:hideMark/>
          </w:tcPr>
          <w:p w14:paraId="4B4DC212" w14:textId="77777777" w:rsidR="00560476" w:rsidRPr="004D436C" w:rsidRDefault="00560476" w:rsidP="0045029C">
            <w:pPr>
              <w:jc w:val="center"/>
              <w:rPr>
                <w:rFonts w:cs="Arial"/>
                <w:b/>
                <w:bCs/>
                <w:color w:val="000000"/>
                <w:sz w:val="18"/>
                <w:szCs w:val="18"/>
              </w:rPr>
            </w:pPr>
            <w:r w:rsidRPr="004D436C">
              <w:rPr>
                <w:rFonts w:cs="Arial"/>
                <w:b/>
                <w:bCs/>
                <w:color w:val="000000"/>
                <w:sz w:val="18"/>
                <w:szCs w:val="18"/>
              </w:rPr>
              <w:t>C-line</w:t>
            </w:r>
          </w:p>
        </w:tc>
        <w:tc>
          <w:tcPr>
            <w:tcW w:w="4383" w:type="dxa"/>
            <w:gridSpan w:val="2"/>
            <w:tcBorders>
              <w:top w:val="nil"/>
              <w:left w:val="nil"/>
              <w:bottom w:val="single" w:sz="4" w:space="0" w:color="auto"/>
              <w:right w:val="single" w:sz="4" w:space="0" w:color="auto"/>
            </w:tcBorders>
            <w:shd w:val="clear" w:color="000000" w:fill="FFF2CC"/>
            <w:vAlign w:val="center"/>
            <w:hideMark/>
          </w:tcPr>
          <w:p w14:paraId="011B106C" w14:textId="77777777" w:rsidR="00560476" w:rsidRPr="004D436C" w:rsidRDefault="00560476" w:rsidP="0045029C">
            <w:pPr>
              <w:rPr>
                <w:rFonts w:cs="Arial"/>
                <w:color w:val="000000"/>
                <w:sz w:val="18"/>
                <w:szCs w:val="18"/>
              </w:rPr>
            </w:pPr>
            <w:r w:rsidRPr="004D436C">
              <w:rPr>
                <w:rFonts w:cs="Arial"/>
                <w:color w:val="000000"/>
                <w:sz w:val="18"/>
                <w:szCs w:val="18"/>
              </w:rPr>
              <w:t xml:space="preserve">70 % </w:t>
            </w:r>
            <w:proofErr w:type="spellStart"/>
            <w:r w:rsidRPr="004D436C">
              <w:rPr>
                <w:rFonts w:cs="Arial"/>
                <w:color w:val="000000"/>
                <w:sz w:val="18"/>
                <w:szCs w:val="18"/>
              </w:rPr>
              <w:t>po</w:t>
            </w:r>
            <w:proofErr w:type="spellEnd"/>
            <w:r w:rsidRPr="004D436C">
              <w:rPr>
                <w:rFonts w:cs="Arial"/>
                <w:color w:val="000000"/>
                <w:sz w:val="18"/>
                <w:szCs w:val="18"/>
              </w:rPr>
              <w:t xml:space="preserve"> 4 </w:t>
            </w:r>
            <w:proofErr w:type="spellStart"/>
            <w:r w:rsidRPr="004D436C">
              <w:rPr>
                <w:rFonts w:cs="Arial"/>
                <w:color w:val="000000"/>
                <w:sz w:val="18"/>
                <w:szCs w:val="18"/>
              </w:rPr>
              <w:t>letech</w:t>
            </w:r>
            <w:proofErr w:type="spellEnd"/>
            <w:r w:rsidRPr="004D436C">
              <w:rPr>
                <w:rFonts w:cs="Arial"/>
                <w:color w:val="000000"/>
                <w:sz w:val="18"/>
                <w:szCs w:val="18"/>
              </w:rPr>
              <w:t xml:space="preserve"> </w:t>
            </w:r>
            <w:proofErr w:type="spellStart"/>
            <w:r w:rsidRPr="004D436C">
              <w:rPr>
                <w:rFonts w:cs="Arial"/>
                <w:color w:val="000000"/>
                <w:sz w:val="18"/>
                <w:szCs w:val="18"/>
              </w:rPr>
              <w:t>nebo</w:t>
            </w:r>
            <w:proofErr w:type="spellEnd"/>
            <w:r w:rsidRPr="004D436C">
              <w:rPr>
                <w:rFonts w:cs="Arial"/>
                <w:color w:val="000000"/>
                <w:sz w:val="18"/>
                <w:szCs w:val="18"/>
              </w:rPr>
              <w:t xml:space="preserve"> 1500 </w:t>
            </w:r>
            <w:proofErr w:type="spellStart"/>
            <w:r w:rsidRPr="004D436C">
              <w:rPr>
                <w:rFonts w:cs="Arial"/>
                <w:color w:val="000000"/>
                <w:sz w:val="18"/>
                <w:szCs w:val="18"/>
              </w:rPr>
              <w:t>plných</w:t>
            </w:r>
            <w:proofErr w:type="spellEnd"/>
            <w:r w:rsidRPr="004D436C">
              <w:rPr>
                <w:rFonts w:cs="Arial"/>
                <w:color w:val="000000"/>
                <w:sz w:val="18"/>
                <w:szCs w:val="18"/>
              </w:rPr>
              <w:t xml:space="preserve"> </w:t>
            </w:r>
            <w:proofErr w:type="spellStart"/>
            <w:r w:rsidRPr="004D436C">
              <w:rPr>
                <w:rFonts w:cs="Arial"/>
                <w:color w:val="000000"/>
                <w:sz w:val="18"/>
                <w:szCs w:val="18"/>
              </w:rPr>
              <w:t>nabíjecích</w:t>
            </w:r>
            <w:proofErr w:type="spellEnd"/>
            <w:r w:rsidRPr="004D436C">
              <w:rPr>
                <w:rFonts w:cs="Arial"/>
                <w:color w:val="000000"/>
                <w:sz w:val="18"/>
                <w:szCs w:val="18"/>
              </w:rPr>
              <w:t xml:space="preserve"> </w:t>
            </w:r>
            <w:proofErr w:type="spellStart"/>
            <w:r w:rsidRPr="004D436C">
              <w:rPr>
                <w:rFonts w:cs="Arial"/>
                <w:color w:val="000000"/>
                <w:sz w:val="18"/>
                <w:szCs w:val="18"/>
              </w:rPr>
              <w:t>cyklech</w:t>
            </w:r>
            <w:proofErr w:type="spellEnd"/>
            <w:r w:rsidRPr="004D436C">
              <w:rPr>
                <w:rFonts w:cs="Arial"/>
                <w:color w:val="000000"/>
                <w:sz w:val="18"/>
                <w:szCs w:val="18"/>
              </w:rPr>
              <w:t xml:space="preserve">. </w:t>
            </w:r>
            <w:proofErr w:type="spellStart"/>
            <w:r w:rsidRPr="004D436C">
              <w:rPr>
                <w:rFonts w:cs="Arial"/>
                <w:color w:val="000000"/>
                <w:sz w:val="18"/>
                <w:szCs w:val="18"/>
              </w:rPr>
              <w:t>Dle</w:t>
            </w:r>
            <w:proofErr w:type="spellEnd"/>
            <w:r w:rsidRPr="004D436C">
              <w:rPr>
                <w:rFonts w:cs="Arial"/>
                <w:color w:val="000000"/>
                <w:sz w:val="18"/>
                <w:szCs w:val="18"/>
              </w:rPr>
              <w:t xml:space="preserve"> </w:t>
            </w:r>
            <w:proofErr w:type="spellStart"/>
            <w:r w:rsidRPr="004D436C">
              <w:rPr>
                <w:rFonts w:cs="Arial"/>
                <w:color w:val="000000"/>
                <w:sz w:val="18"/>
                <w:szCs w:val="18"/>
              </w:rPr>
              <w:t>toho</w:t>
            </w:r>
            <w:proofErr w:type="spellEnd"/>
            <w:r w:rsidRPr="004D436C">
              <w:rPr>
                <w:rFonts w:cs="Arial"/>
                <w:color w:val="000000"/>
                <w:sz w:val="18"/>
                <w:szCs w:val="18"/>
              </w:rPr>
              <w:t xml:space="preserve"> </w:t>
            </w:r>
            <w:proofErr w:type="spellStart"/>
            <w:r w:rsidRPr="004D436C">
              <w:rPr>
                <w:rFonts w:cs="Arial"/>
                <w:color w:val="000000"/>
                <w:sz w:val="18"/>
                <w:szCs w:val="18"/>
              </w:rPr>
              <w:t>co</w:t>
            </w:r>
            <w:proofErr w:type="spellEnd"/>
            <w:r w:rsidRPr="004D436C">
              <w:rPr>
                <w:rFonts w:cs="Arial"/>
                <w:color w:val="000000"/>
                <w:sz w:val="18"/>
                <w:szCs w:val="18"/>
              </w:rPr>
              <w:t xml:space="preserve"> </w:t>
            </w:r>
            <w:proofErr w:type="spellStart"/>
            <w:r w:rsidRPr="004D436C">
              <w:rPr>
                <w:rFonts w:cs="Arial"/>
                <w:color w:val="000000"/>
                <w:sz w:val="18"/>
                <w:szCs w:val="18"/>
              </w:rPr>
              <w:t>nastane</w:t>
            </w:r>
            <w:proofErr w:type="spellEnd"/>
            <w:r w:rsidRPr="004D436C">
              <w:rPr>
                <w:rFonts w:cs="Arial"/>
                <w:color w:val="000000"/>
                <w:sz w:val="18"/>
                <w:szCs w:val="18"/>
              </w:rPr>
              <w:t xml:space="preserve"> </w:t>
            </w:r>
            <w:proofErr w:type="spellStart"/>
            <w:r w:rsidRPr="004D436C">
              <w:rPr>
                <w:rFonts w:cs="Arial"/>
                <w:color w:val="000000"/>
                <w:sz w:val="18"/>
                <w:szCs w:val="18"/>
              </w:rPr>
              <w:t>dříve</w:t>
            </w:r>
            <w:proofErr w:type="spellEnd"/>
            <w:r w:rsidRPr="004D436C">
              <w:rPr>
                <w:rFonts w:cs="Arial"/>
                <w:color w:val="000000"/>
                <w:sz w:val="18"/>
                <w:szCs w:val="18"/>
              </w:rPr>
              <w:t>.</w:t>
            </w:r>
          </w:p>
        </w:tc>
        <w:tc>
          <w:tcPr>
            <w:tcW w:w="2237" w:type="dxa"/>
            <w:gridSpan w:val="2"/>
            <w:tcBorders>
              <w:top w:val="nil"/>
              <w:left w:val="nil"/>
              <w:bottom w:val="single" w:sz="4" w:space="0" w:color="auto"/>
              <w:right w:val="single" w:sz="8" w:space="0" w:color="auto"/>
            </w:tcBorders>
            <w:shd w:val="clear" w:color="000000" w:fill="FFF2CC"/>
            <w:vAlign w:val="center"/>
            <w:hideMark/>
          </w:tcPr>
          <w:p w14:paraId="0651B796" w14:textId="77777777" w:rsidR="00560476" w:rsidRPr="004D436C" w:rsidRDefault="00560476" w:rsidP="0045029C">
            <w:pPr>
              <w:rPr>
                <w:rFonts w:cs="Arial"/>
                <w:color w:val="000000"/>
                <w:sz w:val="18"/>
                <w:szCs w:val="18"/>
              </w:rPr>
            </w:pPr>
            <w:proofErr w:type="spellStart"/>
            <w:r w:rsidRPr="004D436C">
              <w:rPr>
                <w:rFonts w:cs="Arial"/>
                <w:color w:val="000000"/>
                <w:sz w:val="18"/>
                <w:szCs w:val="18"/>
              </w:rPr>
              <w:t>Plná</w:t>
            </w:r>
            <w:proofErr w:type="spellEnd"/>
            <w:r w:rsidRPr="004D436C">
              <w:rPr>
                <w:rFonts w:cs="Arial"/>
                <w:color w:val="000000"/>
                <w:sz w:val="18"/>
                <w:szCs w:val="18"/>
              </w:rPr>
              <w:t xml:space="preserve"> </w:t>
            </w:r>
            <w:proofErr w:type="spellStart"/>
            <w:r w:rsidRPr="004D436C">
              <w:rPr>
                <w:rFonts w:cs="Arial"/>
                <w:color w:val="000000"/>
                <w:sz w:val="18"/>
                <w:szCs w:val="18"/>
              </w:rPr>
              <w:t>záruka</w:t>
            </w:r>
            <w:proofErr w:type="spellEnd"/>
            <w:r w:rsidRPr="004D436C">
              <w:rPr>
                <w:rFonts w:cs="Arial"/>
                <w:color w:val="000000"/>
                <w:sz w:val="18"/>
                <w:szCs w:val="18"/>
              </w:rPr>
              <w:t xml:space="preserve"> </w:t>
            </w:r>
            <w:proofErr w:type="spellStart"/>
            <w:r w:rsidRPr="004D436C">
              <w:rPr>
                <w:rFonts w:cs="Arial"/>
                <w:color w:val="000000"/>
                <w:sz w:val="18"/>
                <w:szCs w:val="18"/>
              </w:rPr>
              <w:t>po</w:t>
            </w:r>
            <w:proofErr w:type="spellEnd"/>
            <w:r w:rsidRPr="004D436C">
              <w:rPr>
                <w:rFonts w:cs="Arial"/>
                <w:color w:val="000000"/>
                <w:sz w:val="18"/>
                <w:szCs w:val="18"/>
              </w:rPr>
              <w:t xml:space="preserve"> </w:t>
            </w:r>
            <w:proofErr w:type="spellStart"/>
            <w:r w:rsidRPr="004D436C">
              <w:rPr>
                <w:rFonts w:cs="Arial"/>
                <w:color w:val="000000"/>
                <w:sz w:val="18"/>
                <w:szCs w:val="18"/>
              </w:rPr>
              <w:t>dobu</w:t>
            </w:r>
            <w:proofErr w:type="spellEnd"/>
            <w:r w:rsidRPr="004D436C">
              <w:rPr>
                <w:rFonts w:cs="Arial"/>
                <w:color w:val="000000"/>
                <w:sz w:val="18"/>
                <w:szCs w:val="18"/>
              </w:rPr>
              <w:t xml:space="preserve"> 4 </w:t>
            </w:r>
            <w:proofErr w:type="spellStart"/>
            <w:r w:rsidRPr="004D436C">
              <w:rPr>
                <w:rFonts w:cs="Arial"/>
                <w:color w:val="000000"/>
                <w:sz w:val="18"/>
                <w:szCs w:val="18"/>
              </w:rPr>
              <w:t>let</w:t>
            </w:r>
            <w:proofErr w:type="spellEnd"/>
            <w:r w:rsidRPr="004D436C">
              <w:rPr>
                <w:rFonts w:cs="Arial"/>
                <w:color w:val="000000"/>
                <w:sz w:val="18"/>
                <w:szCs w:val="18"/>
              </w:rPr>
              <w:t xml:space="preserve"> </w:t>
            </w:r>
            <w:proofErr w:type="spellStart"/>
            <w:r w:rsidRPr="004D436C">
              <w:rPr>
                <w:rFonts w:cs="Arial"/>
                <w:color w:val="000000"/>
                <w:sz w:val="18"/>
                <w:szCs w:val="18"/>
              </w:rPr>
              <w:t>nebo</w:t>
            </w:r>
            <w:proofErr w:type="spellEnd"/>
            <w:r w:rsidRPr="004D436C">
              <w:rPr>
                <w:rFonts w:cs="Arial"/>
                <w:color w:val="000000"/>
                <w:sz w:val="18"/>
                <w:szCs w:val="18"/>
              </w:rPr>
              <w:t xml:space="preserve"> max. 1500 </w:t>
            </w:r>
            <w:proofErr w:type="spellStart"/>
            <w:r w:rsidRPr="004D436C">
              <w:rPr>
                <w:rFonts w:cs="Arial"/>
                <w:color w:val="000000"/>
                <w:sz w:val="18"/>
                <w:szCs w:val="18"/>
              </w:rPr>
              <w:t>plných</w:t>
            </w:r>
            <w:proofErr w:type="spellEnd"/>
            <w:r w:rsidRPr="004D436C">
              <w:rPr>
                <w:rFonts w:cs="Arial"/>
                <w:color w:val="000000"/>
                <w:sz w:val="18"/>
                <w:szCs w:val="18"/>
              </w:rPr>
              <w:t xml:space="preserve"> </w:t>
            </w:r>
            <w:proofErr w:type="spellStart"/>
            <w:r w:rsidRPr="004D436C">
              <w:rPr>
                <w:rFonts w:cs="Arial"/>
                <w:color w:val="000000"/>
                <w:sz w:val="18"/>
                <w:szCs w:val="18"/>
              </w:rPr>
              <w:t>nabíjecích</w:t>
            </w:r>
            <w:proofErr w:type="spellEnd"/>
            <w:r w:rsidRPr="004D436C">
              <w:rPr>
                <w:rFonts w:cs="Arial"/>
                <w:color w:val="000000"/>
                <w:sz w:val="18"/>
                <w:szCs w:val="18"/>
              </w:rPr>
              <w:t xml:space="preserve"> </w:t>
            </w:r>
            <w:proofErr w:type="spellStart"/>
            <w:r w:rsidRPr="004D436C">
              <w:rPr>
                <w:rFonts w:cs="Arial"/>
                <w:color w:val="000000"/>
                <w:sz w:val="18"/>
                <w:szCs w:val="18"/>
              </w:rPr>
              <w:t>cyklů</w:t>
            </w:r>
            <w:proofErr w:type="spellEnd"/>
            <w:r w:rsidRPr="004D436C">
              <w:rPr>
                <w:rFonts w:cs="Arial"/>
                <w:color w:val="000000"/>
                <w:sz w:val="18"/>
                <w:szCs w:val="18"/>
              </w:rPr>
              <w:t xml:space="preserve">. </w:t>
            </w:r>
            <w:proofErr w:type="spellStart"/>
            <w:r w:rsidRPr="004D436C">
              <w:rPr>
                <w:rFonts w:cs="Arial"/>
                <w:color w:val="000000"/>
                <w:sz w:val="18"/>
                <w:szCs w:val="18"/>
              </w:rPr>
              <w:t>Dle</w:t>
            </w:r>
            <w:proofErr w:type="spellEnd"/>
            <w:r w:rsidRPr="004D436C">
              <w:rPr>
                <w:rFonts w:cs="Arial"/>
                <w:color w:val="000000"/>
                <w:sz w:val="18"/>
                <w:szCs w:val="18"/>
              </w:rPr>
              <w:t xml:space="preserve"> </w:t>
            </w:r>
            <w:proofErr w:type="spellStart"/>
            <w:r w:rsidRPr="004D436C">
              <w:rPr>
                <w:rFonts w:cs="Arial"/>
                <w:color w:val="000000"/>
                <w:sz w:val="18"/>
                <w:szCs w:val="18"/>
              </w:rPr>
              <w:t>toho</w:t>
            </w:r>
            <w:proofErr w:type="spellEnd"/>
            <w:r w:rsidRPr="004D436C">
              <w:rPr>
                <w:rFonts w:cs="Arial"/>
                <w:color w:val="000000"/>
                <w:sz w:val="18"/>
                <w:szCs w:val="18"/>
              </w:rPr>
              <w:t xml:space="preserve"> </w:t>
            </w:r>
            <w:proofErr w:type="spellStart"/>
            <w:r w:rsidRPr="004D436C">
              <w:rPr>
                <w:rFonts w:cs="Arial"/>
                <w:color w:val="000000"/>
                <w:sz w:val="18"/>
                <w:szCs w:val="18"/>
              </w:rPr>
              <w:t>co</w:t>
            </w:r>
            <w:proofErr w:type="spellEnd"/>
            <w:r w:rsidRPr="004D436C">
              <w:rPr>
                <w:rFonts w:cs="Arial"/>
                <w:color w:val="000000"/>
                <w:sz w:val="18"/>
                <w:szCs w:val="18"/>
              </w:rPr>
              <w:t xml:space="preserve"> </w:t>
            </w:r>
            <w:proofErr w:type="spellStart"/>
            <w:r w:rsidRPr="004D436C">
              <w:rPr>
                <w:rFonts w:cs="Arial"/>
                <w:color w:val="000000"/>
                <w:sz w:val="18"/>
                <w:szCs w:val="18"/>
              </w:rPr>
              <w:t>nastane</w:t>
            </w:r>
            <w:proofErr w:type="spellEnd"/>
            <w:r w:rsidRPr="004D436C">
              <w:rPr>
                <w:rFonts w:cs="Arial"/>
                <w:color w:val="000000"/>
                <w:sz w:val="18"/>
                <w:szCs w:val="18"/>
              </w:rPr>
              <w:t xml:space="preserve"> </w:t>
            </w:r>
            <w:proofErr w:type="spellStart"/>
            <w:r w:rsidRPr="004D436C">
              <w:rPr>
                <w:rFonts w:cs="Arial"/>
                <w:color w:val="000000"/>
                <w:sz w:val="18"/>
                <w:szCs w:val="18"/>
              </w:rPr>
              <w:t>dříve</w:t>
            </w:r>
            <w:proofErr w:type="spellEnd"/>
            <w:r w:rsidRPr="004D436C">
              <w:rPr>
                <w:rFonts w:cs="Arial"/>
                <w:color w:val="000000"/>
                <w:sz w:val="18"/>
                <w:szCs w:val="18"/>
              </w:rPr>
              <w:t xml:space="preserve">. </w:t>
            </w:r>
            <w:proofErr w:type="spellStart"/>
            <w:r w:rsidRPr="004D436C">
              <w:rPr>
                <w:rFonts w:cs="Arial"/>
                <w:color w:val="000000"/>
                <w:sz w:val="18"/>
                <w:szCs w:val="18"/>
              </w:rPr>
              <w:t>Záruka</w:t>
            </w:r>
            <w:proofErr w:type="spellEnd"/>
            <w:r w:rsidRPr="004D436C">
              <w:rPr>
                <w:rFonts w:cs="Arial"/>
                <w:color w:val="000000"/>
                <w:sz w:val="18"/>
                <w:szCs w:val="18"/>
              </w:rPr>
              <w:t xml:space="preserve"> se </w:t>
            </w:r>
            <w:proofErr w:type="spellStart"/>
            <w:r w:rsidRPr="004D436C">
              <w:rPr>
                <w:rFonts w:cs="Arial"/>
                <w:color w:val="000000"/>
                <w:sz w:val="18"/>
                <w:szCs w:val="18"/>
              </w:rPr>
              <w:t>nevztahuje</w:t>
            </w:r>
            <w:proofErr w:type="spellEnd"/>
            <w:r w:rsidRPr="004D436C">
              <w:rPr>
                <w:rFonts w:cs="Arial"/>
                <w:color w:val="000000"/>
                <w:sz w:val="18"/>
                <w:szCs w:val="18"/>
              </w:rPr>
              <w:t xml:space="preserve"> se na </w:t>
            </w:r>
            <w:proofErr w:type="spellStart"/>
            <w:r w:rsidRPr="004D436C">
              <w:rPr>
                <w:rFonts w:cs="Arial"/>
                <w:color w:val="000000"/>
                <w:sz w:val="18"/>
                <w:szCs w:val="18"/>
              </w:rPr>
              <w:t>silový</w:t>
            </w:r>
            <w:proofErr w:type="spellEnd"/>
            <w:r w:rsidRPr="004D436C">
              <w:rPr>
                <w:rFonts w:cs="Arial"/>
                <w:color w:val="000000"/>
                <w:sz w:val="18"/>
                <w:szCs w:val="18"/>
              </w:rPr>
              <w:t xml:space="preserve"> a </w:t>
            </w:r>
            <w:proofErr w:type="spellStart"/>
            <w:r w:rsidRPr="004D436C">
              <w:rPr>
                <w:rFonts w:cs="Arial"/>
                <w:color w:val="000000"/>
                <w:sz w:val="18"/>
                <w:szCs w:val="18"/>
              </w:rPr>
              <w:t>diagnostický</w:t>
            </w:r>
            <w:proofErr w:type="spellEnd"/>
            <w:r w:rsidRPr="004D436C">
              <w:rPr>
                <w:rFonts w:cs="Arial"/>
                <w:color w:val="000000"/>
                <w:sz w:val="18"/>
                <w:szCs w:val="18"/>
              </w:rPr>
              <w:t xml:space="preserve"> </w:t>
            </w:r>
            <w:proofErr w:type="spellStart"/>
            <w:r w:rsidRPr="004D436C">
              <w:rPr>
                <w:rFonts w:cs="Arial"/>
                <w:color w:val="000000"/>
                <w:sz w:val="18"/>
                <w:szCs w:val="18"/>
              </w:rPr>
              <w:t>připojovací</w:t>
            </w:r>
            <w:proofErr w:type="spellEnd"/>
            <w:r w:rsidRPr="004D436C">
              <w:rPr>
                <w:rFonts w:cs="Arial"/>
                <w:color w:val="000000"/>
                <w:sz w:val="18"/>
                <w:szCs w:val="18"/>
              </w:rPr>
              <w:t xml:space="preserve"> </w:t>
            </w:r>
            <w:proofErr w:type="spellStart"/>
            <w:r w:rsidRPr="004D436C">
              <w:rPr>
                <w:rFonts w:cs="Arial"/>
                <w:color w:val="000000"/>
                <w:sz w:val="18"/>
                <w:szCs w:val="18"/>
              </w:rPr>
              <w:t>kabel</w:t>
            </w:r>
            <w:proofErr w:type="spellEnd"/>
            <w:r w:rsidRPr="004D436C">
              <w:rPr>
                <w:rFonts w:cs="Arial"/>
                <w:color w:val="000000"/>
                <w:sz w:val="18"/>
                <w:szCs w:val="18"/>
              </w:rPr>
              <w:t xml:space="preserve"> a +/- </w:t>
            </w:r>
            <w:proofErr w:type="spellStart"/>
            <w:r w:rsidRPr="004D436C">
              <w:rPr>
                <w:rFonts w:cs="Arial"/>
                <w:color w:val="000000"/>
                <w:sz w:val="18"/>
                <w:szCs w:val="18"/>
              </w:rPr>
              <w:t>konektory</w:t>
            </w:r>
            <w:proofErr w:type="spellEnd"/>
            <w:r w:rsidRPr="004D436C">
              <w:rPr>
                <w:rFonts w:cs="Arial"/>
                <w:color w:val="000000"/>
                <w:sz w:val="18"/>
                <w:szCs w:val="18"/>
              </w:rPr>
              <w:t xml:space="preserve"> </w:t>
            </w:r>
            <w:proofErr w:type="spellStart"/>
            <w:r w:rsidRPr="004D436C">
              <w:rPr>
                <w:rFonts w:cs="Arial"/>
                <w:color w:val="000000"/>
                <w:sz w:val="18"/>
                <w:szCs w:val="18"/>
              </w:rPr>
              <w:t>baterie</w:t>
            </w:r>
            <w:proofErr w:type="spellEnd"/>
          </w:p>
        </w:tc>
      </w:tr>
      <w:tr w:rsidR="00560476" w:rsidRPr="004D436C" w14:paraId="5BE6FD63" w14:textId="77777777" w:rsidTr="004823B7">
        <w:trPr>
          <w:gridAfter w:val="1"/>
          <w:wAfter w:w="188" w:type="dxa"/>
          <w:trHeight w:val="1080"/>
        </w:trPr>
        <w:tc>
          <w:tcPr>
            <w:tcW w:w="941" w:type="dxa"/>
            <w:tcBorders>
              <w:top w:val="nil"/>
              <w:left w:val="single" w:sz="8" w:space="0" w:color="auto"/>
              <w:bottom w:val="single" w:sz="8" w:space="0" w:color="auto"/>
              <w:right w:val="single" w:sz="4" w:space="0" w:color="auto"/>
            </w:tcBorders>
            <w:shd w:val="clear" w:color="000000" w:fill="FFE699"/>
            <w:noWrap/>
            <w:vAlign w:val="center"/>
            <w:hideMark/>
          </w:tcPr>
          <w:p w14:paraId="00952A2B" w14:textId="77777777" w:rsidR="00560476" w:rsidRPr="004D436C" w:rsidRDefault="00560476" w:rsidP="0045029C">
            <w:pPr>
              <w:jc w:val="center"/>
              <w:rPr>
                <w:rFonts w:cs="Arial"/>
                <w:b/>
                <w:bCs/>
                <w:color w:val="000000"/>
                <w:sz w:val="18"/>
                <w:szCs w:val="18"/>
              </w:rPr>
            </w:pPr>
            <w:r w:rsidRPr="004D436C">
              <w:rPr>
                <w:rFonts w:cs="Arial"/>
                <w:b/>
                <w:bCs/>
                <w:color w:val="000000"/>
                <w:sz w:val="18"/>
                <w:szCs w:val="18"/>
              </w:rPr>
              <w:t>48V</w:t>
            </w:r>
          </w:p>
        </w:tc>
        <w:tc>
          <w:tcPr>
            <w:tcW w:w="1101" w:type="dxa"/>
            <w:gridSpan w:val="2"/>
            <w:tcBorders>
              <w:top w:val="nil"/>
              <w:left w:val="nil"/>
              <w:bottom w:val="single" w:sz="8" w:space="0" w:color="auto"/>
              <w:right w:val="single" w:sz="4" w:space="0" w:color="auto"/>
            </w:tcBorders>
            <w:shd w:val="clear" w:color="000000" w:fill="FFE699"/>
            <w:noWrap/>
            <w:vAlign w:val="center"/>
            <w:hideMark/>
          </w:tcPr>
          <w:p w14:paraId="757F547E" w14:textId="77777777" w:rsidR="00560476" w:rsidRPr="004D436C" w:rsidRDefault="00560476" w:rsidP="0045029C">
            <w:pPr>
              <w:jc w:val="center"/>
              <w:rPr>
                <w:rFonts w:cs="Arial"/>
                <w:b/>
                <w:bCs/>
                <w:color w:val="000000"/>
                <w:sz w:val="18"/>
                <w:szCs w:val="18"/>
              </w:rPr>
            </w:pPr>
            <w:r w:rsidRPr="004D436C">
              <w:rPr>
                <w:rFonts w:cs="Arial"/>
                <w:b/>
                <w:bCs/>
                <w:color w:val="000000"/>
                <w:sz w:val="18"/>
                <w:szCs w:val="18"/>
              </w:rPr>
              <w:t>KBS</w:t>
            </w:r>
          </w:p>
        </w:tc>
        <w:tc>
          <w:tcPr>
            <w:tcW w:w="1548" w:type="dxa"/>
            <w:gridSpan w:val="2"/>
            <w:tcBorders>
              <w:top w:val="nil"/>
              <w:left w:val="nil"/>
              <w:bottom w:val="single" w:sz="8" w:space="0" w:color="auto"/>
              <w:right w:val="single" w:sz="4" w:space="0" w:color="auto"/>
            </w:tcBorders>
            <w:shd w:val="clear" w:color="000000" w:fill="FFE699"/>
            <w:noWrap/>
            <w:vAlign w:val="center"/>
            <w:hideMark/>
          </w:tcPr>
          <w:p w14:paraId="30D963DD" w14:textId="77777777" w:rsidR="00560476" w:rsidRPr="004D436C" w:rsidRDefault="00560476" w:rsidP="0045029C">
            <w:pPr>
              <w:jc w:val="center"/>
              <w:rPr>
                <w:rFonts w:cs="Arial"/>
                <w:b/>
                <w:bCs/>
                <w:color w:val="000000"/>
                <w:sz w:val="18"/>
                <w:szCs w:val="18"/>
              </w:rPr>
            </w:pPr>
            <w:r w:rsidRPr="004D436C">
              <w:rPr>
                <w:rFonts w:cs="Arial"/>
                <w:b/>
                <w:bCs/>
                <w:color w:val="000000"/>
                <w:sz w:val="18"/>
                <w:szCs w:val="18"/>
              </w:rPr>
              <w:t>X-line</w:t>
            </w:r>
          </w:p>
        </w:tc>
        <w:tc>
          <w:tcPr>
            <w:tcW w:w="4383" w:type="dxa"/>
            <w:gridSpan w:val="2"/>
            <w:tcBorders>
              <w:top w:val="nil"/>
              <w:left w:val="nil"/>
              <w:bottom w:val="single" w:sz="8" w:space="0" w:color="auto"/>
              <w:right w:val="single" w:sz="4" w:space="0" w:color="auto"/>
            </w:tcBorders>
            <w:shd w:val="clear" w:color="000000" w:fill="FFE699"/>
            <w:vAlign w:val="center"/>
            <w:hideMark/>
          </w:tcPr>
          <w:p w14:paraId="1ED8D0B5" w14:textId="77777777" w:rsidR="00560476" w:rsidRPr="004D436C" w:rsidRDefault="00560476" w:rsidP="0045029C">
            <w:pPr>
              <w:rPr>
                <w:rFonts w:cs="Arial"/>
                <w:color w:val="000000"/>
                <w:sz w:val="18"/>
                <w:szCs w:val="18"/>
              </w:rPr>
            </w:pPr>
            <w:r w:rsidRPr="004D436C">
              <w:rPr>
                <w:rFonts w:cs="Arial"/>
                <w:color w:val="000000"/>
                <w:sz w:val="18"/>
                <w:szCs w:val="18"/>
              </w:rPr>
              <w:t xml:space="preserve">80 % </w:t>
            </w:r>
            <w:proofErr w:type="spellStart"/>
            <w:r w:rsidRPr="004D436C">
              <w:rPr>
                <w:rFonts w:cs="Arial"/>
                <w:color w:val="000000"/>
                <w:sz w:val="18"/>
                <w:szCs w:val="18"/>
              </w:rPr>
              <w:t>po</w:t>
            </w:r>
            <w:proofErr w:type="spellEnd"/>
            <w:r w:rsidRPr="004D436C">
              <w:rPr>
                <w:rFonts w:cs="Arial"/>
                <w:color w:val="000000"/>
                <w:sz w:val="18"/>
                <w:szCs w:val="18"/>
              </w:rPr>
              <w:t xml:space="preserve"> 5 </w:t>
            </w:r>
            <w:proofErr w:type="spellStart"/>
            <w:r w:rsidRPr="004D436C">
              <w:rPr>
                <w:rFonts w:cs="Arial"/>
                <w:color w:val="000000"/>
                <w:sz w:val="18"/>
                <w:szCs w:val="18"/>
              </w:rPr>
              <w:t>letech</w:t>
            </w:r>
            <w:proofErr w:type="spellEnd"/>
            <w:r w:rsidRPr="004D436C">
              <w:rPr>
                <w:rFonts w:cs="Arial"/>
                <w:color w:val="000000"/>
                <w:sz w:val="18"/>
                <w:szCs w:val="18"/>
              </w:rPr>
              <w:t xml:space="preserve"> </w:t>
            </w:r>
            <w:proofErr w:type="spellStart"/>
            <w:r w:rsidRPr="004D436C">
              <w:rPr>
                <w:rFonts w:cs="Arial"/>
                <w:color w:val="000000"/>
                <w:sz w:val="18"/>
                <w:szCs w:val="18"/>
              </w:rPr>
              <w:t>nebo</w:t>
            </w:r>
            <w:proofErr w:type="spellEnd"/>
            <w:r w:rsidRPr="004D436C">
              <w:rPr>
                <w:rFonts w:cs="Arial"/>
                <w:color w:val="000000"/>
                <w:sz w:val="18"/>
                <w:szCs w:val="18"/>
              </w:rPr>
              <w:t xml:space="preserve"> 2000 </w:t>
            </w:r>
            <w:proofErr w:type="spellStart"/>
            <w:r w:rsidRPr="004D436C">
              <w:rPr>
                <w:rFonts w:cs="Arial"/>
                <w:color w:val="000000"/>
                <w:sz w:val="18"/>
                <w:szCs w:val="18"/>
              </w:rPr>
              <w:t>plných</w:t>
            </w:r>
            <w:proofErr w:type="spellEnd"/>
            <w:r w:rsidRPr="004D436C">
              <w:rPr>
                <w:rFonts w:cs="Arial"/>
                <w:color w:val="000000"/>
                <w:sz w:val="18"/>
                <w:szCs w:val="18"/>
              </w:rPr>
              <w:t xml:space="preserve"> </w:t>
            </w:r>
            <w:proofErr w:type="spellStart"/>
            <w:r w:rsidRPr="004D436C">
              <w:rPr>
                <w:rFonts w:cs="Arial"/>
                <w:color w:val="000000"/>
                <w:sz w:val="18"/>
                <w:szCs w:val="18"/>
              </w:rPr>
              <w:t>nabíjecích</w:t>
            </w:r>
            <w:proofErr w:type="spellEnd"/>
            <w:r w:rsidRPr="004D436C">
              <w:rPr>
                <w:rFonts w:cs="Arial"/>
                <w:color w:val="000000"/>
                <w:sz w:val="18"/>
                <w:szCs w:val="18"/>
              </w:rPr>
              <w:t xml:space="preserve"> </w:t>
            </w:r>
            <w:proofErr w:type="spellStart"/>
            <w:r w:rsidRPr="004D436C">
              <w:rPr>
                <w:rFonts w:cs="Arial"/>
                <w:color w:val="000000"/>
                <w:sz w:val="18"/>
                <w:szCs w:val="18"/>
              </w:rPr>
              <w:t>cyklech</w:t>
            </w:r>
            <w:proofErr w:type="spellEnd"/>
            <w:r w:rsidRPr="004D436C">
              <w:rPr>
                <w:rFonts w:cs="Arial"/>
                <w:color w:val="000000"/>
                <w:sz w:val="18"/>
                <w:szCs w:val="18"/>
              </w:rPr>
              <w:t xml:space="preserve">. </w:t>
            </w:r>
            <w:proofErr w:type="spellStart"/>
            <w:r w:rsidRPr="004D436C">
              <w:rPr>
                <w:rFonts w:cs="Arial"/>
                <w:color w:val="000000"/>
                <w:sz w:val="18"/>
                <w:szCs w:val="18"/>
              </w:rPr>
              <w:t>Dle</w:t>
            </w:r>
            <w:proofErr w:type="spellEnd"/>
            <w:r w:rsidRPr="004D436C">
              <w:rPr>
                <w:rFonts w:cs="Arial"/>
                <w:color w:val="000000"/>
                <w:sz w:val="18"/>
                <w:szCs w:val="18"/>
              </w:rPr>
              <w:t xml:space="preserve"> </w:t>
            </w:r>
            <w:proofErr w:type="spellStart"/>
            <w:r w:rsidRPr="004D436C">
              <w:rPr>
                <w:rFonts w:cs="Arial"/>
                <w:color w:val="000000"/>
                <w:sz w:val="18"/>
                <w:szCs w:val="18"/>
              </w:rPr>
              <w:t>toho</w:t>
            </w:r>
            <w:proofErr w:type="spellEnd"/>
            <w:r w:rsidRPr="004D436C">
              <w:rPr>
                <w:rFonts w:cs="Arial"/>
                <w:color w:val="000000"/>
                <w:sz w:val="18"/>
                <w:szCs w:val="18"/>
              </w:rPr>
              <w:t xml:space="preserve"> </w:t>
            </w:r>
            <w:proofErr w:type="spellStart"/>
            <w:r w:rsidRPr="004D436C">
              <w:rPr>
                <w:rFonts w:cs="Arial"/>
                <w:color w:val="000000"/>
                <w:sz w:val="18"/>
                <w:szCs w:val="18"/>
              </w:rPr>
              <w:t>co</w:t>
            </w:r>
            <w:proofErr w:type="spellEnd"/>
            <w:r w:rsidRPr="004D436C">
              <w:rPr>
                <w:rFonts w:cs="Arial"/>
                <w:color w:val="000000"/>
                <w:sz w:val="18"/>
                <w:szCs w:val="18"/>
              </w:rPr>
              <w:t xml:space="preserve"> </w:t>
            </w:r>
            <w:proofErr w:type="spellStart"/>
            <w:r w:rsidRPr="004D436C">
              <w:rPr>
                <w:rFonts w:cs="Arial"/>
                <w:color w:val="000000"/>
                <w:sz w:val="18"/>
                <w:szCs w:val="18"/>
              </w:rPr>
              <w:t>nastane</w:t>
            </w:r>
            <w:proofErr w:type="spellEnd"/>
            <w:r w:rsidRPr="004D436C">
              <w:rPr>
                <w:rFonts w:cs="Arial"/>
                <w:color w:val="000000"/>
                <w:sz w:val="18"/>
                <w:szCs w:val="18"/>
              </w:rPr>
              <w:t xml:space="preserve"> </w:t>
            </w:r>
            <w:proofErr w:type="spellStart"/>
            <w:r w:rsidRPr="004D436C">
              <w:rPr>
                <w:rFonts w:cs="Arial"/>
                <w:color w:val="000000"/>
                <w:sz w:val="18"/>
                <w:szCs w:val="18"/>
              </w:rPr>
              <w:t>dříve</w:t>
            </w:r>
            <w:proofErr w:type="spellEnd"/>
            <w:r w:rsidRPr="004D436C">
              <w:rPr>
                <w:rFonts w:cs="Arial"/>
                <w:color w:val="000000"/>
                <w:sz w:val="18"/>
                <w:szCs w:val="18"/>
              </w:rPr>
              <w:t>.</w:t>
            </w:r>
          </w:p>
        </w:tc>
        <w:tc>
          <w:tcPr>
            <w:tcW w:w="2237" w:type="dxa"/>
            <w:gridSpan w:val="2"/>
            <w:tcBorders>
              <w:top w:val="nil"/>
              <w:left w:val="nil"/>
              <w:bottom w:val="single" w:sz="8" w:space="0" w:color="auto"/>
              <w:right w:val="single" w:sz="8" w:space="0" w:color="auto"/>
            </w:tcBorders>
            <w:shd w:val="clear" w:color="000000" w:fill="FFE699"/>
            <w:vAlign w:val="center"/>
            <w:hideMark/>
          </w:tcPr>
          <w:p w14:paraId="7ECB64CD" w14:textId="77777777" w:rsidR="00560476" w:rsidRPr="004D436C" w:rsidRDefault="00560476" w:rsidP="0045029C">
            <w:pPr>
              <w:rPr>
                <w:rFonts w:cs="Arial"/>
                <w:color w:val="000000"/>
                <w:sz w:val="18"/>
                <w:szCs w:val="18"/>
              </w:rPr>
            </w:pPr>
            <w:proofErr w:type="spellStart"/>
            <w:r w:rsidRPr="004D436C">
              <w:rPr>
                <w:rFonts w:cs="Arial"/>
                <w:color w:val="000000"/>
                <w:sz w:val="18"/>
                <w:szCs w:val="18"/>
              </w:rPr>
              <w:t>Plná</w:t>
            </w:r>
            <w:proofErr w:type="spellEnd"/>
            <w:r w:rsidRPr="004D436C">
              <w:rPr>
                <w:rFonts w:cs="Arial"/>
                <w:color w:val="000000"/>
                <w:sz w:val="18"/>
                <w:szCs w:val="18"/>
              </w:rPr>
              <w:t xml:space="preserve"> </w:t>
            </w:r>
            <w:proofErr w:type="spellStart"/>
            <w:r w:rsidRPr="004D436C">
              <w:rPr>
                <w:rFonts w:cs="Arial"/>
                <w:color w:val="000000"/>
                <w:sz w:val="18"/>
                <w:szCs w:val="18"/>
              </w:rPr>
              <w:t>záruka</w:t>
            </w:r>
            <w:proofErr w:type="spellEnd"/>
            <w:r w:rsidRPr="004D436C">
              <w:rPr>
                <w:rFonts w:cs="Arial"/>
                <w:color w:val="000000"/>
                <w:sz w:val="18"/>
                <w:szCs w:val="18"/>
              </w:rPr>
              <w:t xml:space="preserve"> </w:t>
            </w:r>
            <w:proofErr w:type="spellStart"/>
            <w:r w:rsidRPr="004D436C">
              <w:rPr>
                <w:rFonts w:cs="Arial"/>
                <w:color w:val="000000"/>
                <w:sz w:val="18"/>
                <w:szCs w:val="18"/>
              </w:rPr>
              <w:t>po</w:t>
            </w:r>
            <w:proofErr w:type="spellEnd"/>
            <w:r w:rsidRPr="004D436C">
              <w:rPr>
                <w:rFonts w:cs="Arial"/>
                <w:color w:val="000000"/>
                <w:sz w:val="18"/>
                <w:szCs w:val="18"/>
              </w:rPr>
              <w:t xml:space="preserve"> </w:t>
            </w:r>
            <w:proofErr w:type="spellStart"/>
            <w:r w:rsidRPr="004D436C">
              <w:rPr>
                <w:rFonts w:cs="Arial"/>
                <w:color w:val="000000"/>
                <w:sz w:val="18"/>
                <w:szCs w:val="18"/>
              </w:rPr>
              <w:t>dobu</w:t>
            </w:r>
            <w:proofErr w:type="spellEnd"/>
            <w:r w:rsidRPr="004D436C">
              <w:rPr>
                <w:rFonts w:cs="Arial"/>
                <w:color w:val="000000"/>
                <w:sz w:val="18"/>
                <w:szCs w:val="18"/>
              </w:rPr>
              <w:t xml:space="preserve"> 5 </w:t>
            </w:r>
            <w:proofErr w:type="spellStart"/>
            <w:r w:rsidRPr="004D436C">
              <w:rPr>
                <w:rFonts w:cs="Arial"/>
                <w:color w:val="000000"/>
                <w:sz w:val="18"/>
                <w:szCs w:val="18"/>
              </w:rPr>
              <w:t>let</w:t>
            </w:r>
            <w:proofErr w:type="spellEnd"/>
            <w:r w:rsidRPr="004D436C">
              <w:rPr>
                <w:rFonts w:cs="Arial"/>
                <w:color w:val="000000"/>
                <w:sz w:val="18"/>
                <w:szCs w:val="18"/>
              </w:rPr>
              <w:t xml:space="preserve"> </w:t>
            </w:r>
            <w:proofErr w:type="spellStart"/>
            <w:r w:rsidRPr="004D436C">
              <w:rPr>
                <w:rFonts w:cs="Arial"/>
                <w:color w:val="000000"/>
                <w:sz w:val="18"/>
                <w:szCs w:val="18"/>
              </w:rPr>
              <w:t>nebo</w:t>
            </w:r>
            <w:proofErr w:type="spellEnd"/>
            <w:r w:rsidRPr="004D436C">
              <w:rPr>
                <w:rFonts w:cs="Arial"/>
                <w:color w:val="000000"/>
                <w:sz w:val="18"/>
                <w:szCs w:val="18"/>
              </w:rPr>
              <w:t xml:space="preserve"> max. 2000 </w:t>
            </w:r>
            <w:proofErr w:type="spellStart"/>
            <w:r w:rsidRPr="004D436C">
              <w:rPr>
                <w:rFonts w:cs="Arial"/>
                <w:color w:val="000000"/>
                <w:sz w:val="18"/>
                <w:szCs w:val="18"/>
              </w:rPr>
              <w:t>plných</w:t>
            </w:r>
            <w:proofErr w:type="spellEnd"/>
            <w:r w:rsidRPr="004D436C">
              <w:rPr>
                <w:rFonts w:cs="Arial"/>
                <w:color w:val="000000"/>
                <w:sz w:val="18"/>
                <w:szCs w:val="18"/>
              </w:rPr>
              <w:t xml:space="preserve"> </w:t>
            </w:r>
            <w:proofErr w:type="spellStart"/>
            <w:r w:rsidRPr="004D436C">
              <w:rPr>
                <w:rFonts w:cs="Arial"/>
                <w:color w:val="000000"/>
                <w:sz w:val="18"/>
                <w:szCs w:val="18"/>
              </w:rPr>
              <w:t>nabíjecích</w:t>
            </w:r>
            <w:proofErr w:type="spellEnd"/>
            <w:r w:rsidRPr="004D436C">
              <w:rPr>
                <w:rFonts w:cs="Arial"/>
                <w:color w:val="000000"/>
                <w:sz w:val="18"/>
                <w:szCs w:val="18"/>
              </w:rPr>
              <w:t xml:space="preserve"> </w:t>
            </w:r>
            <w:proofErr w:type="spellStart"/>
            <w:r w:rsidRPr="004D436C">
              <w:rPr>
                <w:rFonts w:cs="Arial"/>
                <w:color w:val="000000"/>
                <w:sz w:val="18"/>
                <w:szCs w:val="18"/>
              </w:rPr>
              <w:t>cyklů</w:t>
            </w:r>
            <w:proofErr w:type="spellEnd"/>
            <w:r w:rsidRPr="004D436C">
              <w:rPr>
                <w:rFonts w:cs="Arial"/>
                <w:color w:val="000000"/>
                <w:sz w:val="18"/>
                <w:szCs w:val="18"/>
              </w:rPr>
              <w:t xml:space="preserve">. </w:t>
            </w:r>
            <w:proofErr w:type="spellStart"/>
            <w:r w:rsidRPr="004D436C">
              <w:rPr>
                <w:rFonts w:cs="Arial"/>
                <w:color w:val="000000"/>
                <w:sz w:val="18"/>
                <w:szCs w:val="18"/>
              </w:rPr>
              <w:t>Dle</w:t>
            </w:r>
            <w:proofErr w:type="spellEnd"/>
            <w:r w:rsidRPr="004D436C">
              <w:rPr>
                <w:rFonts w:cs="Arial"/>
                <w:color w:val="000000"/>
                <w:sz w:val="18"/>
                <w:szCs w:val="18"/>
              </w:rPr>
              <w:t xml:space="preserve"> </w:t>
            </w:r>
            <w:proofErr w:type="spellStart"/>
            <w:r w:rsidRPr="004D436C">
              <w:rPr>
                <w:rFonts w:cs="Arial"/>
                <w:color w:val="000000"/>
                <w:sz w:val="18"/>
                <w:szCs w:val="18"/>
              </w:rPr>
              <w:t>toho</w:t>
            </w:r>
            <w:proofErr w:type="spellEnd"/>
            <w:r w:rsidRPr="004D436C">
              <w:rPr>
                <w:rFonts w:cs="Arial"/>
                <w:color w:val="000000"/>
                <w:sz w:val="18"/>
                <w:szCs w:val="18"/>
              </w:rPr>
              <w:t xml:space="preserve"> </w:t>
            </w:r>
            <w:proofErr w:type="spellStart"/>
            <w:r w:rsidRPr="004D436C">
              <w:rPr>
                <w:rFonts w:cs="Arial"/>
                <w:color w:val="000000"/>
                <w:sz w:val="18"/>
                <w:szCs w:val="18"/>
              </w:rPr>
              <w:t>co</w:t>
            </w:r>
            <w:proofErr w:type="spellEnd"/>
            <w:r w:rsidRPr="004D436C">
              <w:rPr>
                <w:rFonts w:cs="Arial"/>
                <w:color w:val="000000"/>
                <w:sz w:val="18"/>
                <w:szCs w:val="18"/>
              </w:rPr>
              <w:t xml:space="preserve"> </w:t>
            </w:r>
            <w:proofErr w:type="spellStart"/>
            <w:r w:rsidRPr="004D436C">
              <w:rPr>
                <w:rFonts w:cs="Arial"/>
                <w:color w:val="000000"/>
                <w:sz w:val="18"/>
                <w:szCs w:val="18"/>
              </w:rPr>
              <w:t>nastane</w:t>
            </w:r>
            <w:proofErr w:type="spellEnd"/>
            <w:r w:rsidRPr="004D436C">
              <w:rPr>
                <w:rFonts w:cs="Arial"/>
                <w:color w:val="000000"/>
                <w:sz w:val="18"/>
                <w:szCs w:val="18"/>
              </w:rPr>
              <w:t xml:space="preserve"> </w:t>
            </w:r>
            <w:proofErr w:type="spellStart"/>
            <w:r w:rsidRPr="004D436C">
              <w:rPr>
                <w:rFonts w:cs="Arial"/>
                <w:color w:val="000000"/>
                <w:sz w:val="18"/>
                <w:szCs w:val="18"/>
              </w:rPr>
              <w:t>dříve</w:t>
            </w:r>
            <w:proofErr w:type="spellEnd"/>
            <w:r w:rsidRPr="004D436C">
              <w:rPr>
                <w:rFonts w:cs="Arial"/>
                <w:color w:val="000000"/>
                <w:sz w:val="18"/>
                <w:szCs w:val="18"/>
              </w:rPr>
              <w:t xml:space="preserve">. </w:t>
            </w:r>
            <w:proofErr w:type="spellStart"/>
            <w:r w:rsidRPr="004D436C">
              <w:rPr>
                <w:rFonts w:cs="Arial"/>
                <w:color w:val="000000"/>
                <w:sz w:val="18"/>
                <w:szCs w:val="18"/>
              </w:rPr>
              <w:t>Záruka</w:t>
            </w:r>
            <w:proofErr w:type="spellEnd"/>
            <w:r w:rsidRPr="004D436C">
              <w:rPr>
                <w:rFonts w:cs="Arial"/>
                <w:color w:val="000000"/>
                <w:sz w:val="18"/>
                <w:szCs w:val="18"/>
              </w:rPr>
              <w:t xml:space="preserve"> se </w:t>
            </w:r>
            <w:proofErr w:type="spellStart"/>
            <w:r w:rsidRPr="004D436C">
              <w:rPr>
                <w:rFonts w:cs="Arial"/>
                <w:color w:val="000000"/>
                <w:sz w:val="18"/>
                <w:szCs w:val="18"/>
              </w:rPr>
              <w:t>nevztahuje</w:t>
            </w:r>
            <w:proofErr w:type="spellEnd"/>
            <w:r w:rsidRPr="004D436C">
              <w:rPr>
                <w:rFonts w:cs="Arial"/>
                <w:color w:val="000000"/>
                <w:sz w:val="18"/>
                <w:szCs w:val="18"/>
              </w:rPr>
              <w:t xml:space="preserve"> se na </w:t>
            </w:r>
            <w:proofErr w:type="spellStart"/>
            <w:r w:rsidRPr="004D436C">
              <w:rPr>
                <w:rFonts w:cs="Arial"/>
                <w:color w:val="000000"/>
                <w:sz w:val="18"/>
                <w:szCs w:val="18"/>
              </w:rPr>
              <w:t>silový</w:t>
            </w:r>
            <w:proofErr w:type="spellEnd"/>
            <w:r w:rsidRPr="004D436C">
              <w:rPr>
                <w:rFonts w:cs="Arial"/>
                <w:color w:val="000000"/>
                <w:sz w:val="18"/>
                <w:szCs w:val="18"/>
              </w:rPr>
              <w:t xml:space="preserve"> a </w:t>
            </w:r>
            <w:proofErr w:type="spellStart"/>
            <w:r w:rsidRPr="004D436C">
              <w:rPr>
                <w:rFonts w:cs="Arial"/>
                <w:color w:val="000000"/>
                <w:sz w:val="18"/>
                <w:szCs w:val="18"/>
              </w:rPr>
              <w:t>diagnostický</w:t>
            </w:r>
            <w:proofErr w:type="spellEnd"/>
            <w:r w:rsidRPr="004D436C">
              <w:rPr>
                <w:rFonts w:cs="Arial"/>
                <w:color w:val="000000"/>
                <w:sz w:val="18"/>
                <w:szCs w:val="18"/>
              </w:rPr>
              <w:t xml:space="preserve"> </w:t>
            </w:r>
            <w:proofErr w:type="spellStart"/>
            <w:r w:rsidRPr="004D436C">
              <w:rPr>
                <w:rFonts w:cs="Arial"/>
                <w:color w:val="000000"/>
                <w:sz w:val="18"/>
                <w:szCs w:val="18"/>
              </w:rPr>
              <w:t>připojovací</w:t>
            </w:r>
            <w:proofErr w:type="spellEnd"/>
            <w:r w:rsidRPr="004D436C">
              <w:rPr>
                <w:rFonts w:cs="Arial"/>
                <w:color w:val="000000"/>
                <w:sz w:val="18"/>
                <w:szCs w:val="18"/>
              </w:rPr>
              <w:t xml:space="preserve"> </w:t>
            </w:r>
            <w:proofErr w:type="spellStart"/>
            <w:r w:rsidRPr="004D436C">
              <w:rPr>
                <w:rFonts w:cs="Arial"/>
                <w:color w:val="000000"/>
                <w:sz w:val="18"/>
                <w:szCs w:val="18"/>
              </w:rPr>
              <w:t>kabel</w:t>
            </w:r>
            <w:proofErr w:type="spellEnd"/>
            <w:r w:rsidRPr="004D436C">
              <w:rPr>
                <w:rFonts w:cs="Arial"/>
                <w:color w:val="000000"/>
                <w:sz w:val="18"/>
                <w:szCs w:val="18"/>
              </w:rPr>
              <w:t xml:space="preserve"> a +/- </w:t>
            </w:r>
            <w:proofErr w:type="spellStart"/>
            <w:r w:rsidRPr="004D436C">
              <w:rPr>
                <w:rFonts w:cs="Arial"/>
                <w:color w:val="000000"/>
                <w:sz w:val="18"/>
                <w:szCs w:val="18"/>
              </w:rPr>
              <w:t>konektory</w:t>
            </w:r>
            <w:proofErr w:type="spellEnd"/>
            <w:r w:rsidRPr="004D436C">
              <w:rPr>
                <w:rFonts w:cs="Arial"/>
                <w:color w:val="000000"/>
                <w:sz w:val="18"/>
                <w:szCs w:val="18"/>
              </w:rPr>
              <w:t xml:space="preserve"> </w:t>
            </w:r>
            <w:proofErr w:type="spellStart"/>
            <w:r w:rsidRPr="004D436C">
              <w:rPr>
                <w:rFonts w:cs="Arial"/>
                <w:color w:val="000000"/>
                <w:sz w:val="18"/>
                <w:szCs w:val="18"/>
              </w:rPr>
              <w:t>baterie</w:t>
            </w:r>
            <w:proofErr w:type="spellEnd"/>
          </w:p>
        </w:tc>
      </w:tr>
      <w:tr w:rsidR="00560476" w:rsidRPr="004D436C" w14:paraId="056DF89E" w14:textId="77777777" w:rsidTr="004823B7">
        <w:trPr>
          <w:gridAfter w:val="1"/>
          <w:wAfter w:w="188" w:type="dxa"/>
          <w:trHeight w:val="1080"/>
        </w:trPr>
        <w:tc>
          <w:tcPr>
            <w:tcW w:w="941" w:type="dxa"/>
            <w:tcBorders>
              <w:top w:val="nil"/>
              <w:left w:val="single" w:sz="8" w:space="0" w:color="auto"/>
              <w:bottom w:val="single" w:sz="8" w:space="0" w:color="auto"/>
              <w:right w:val="single" w:sz="4" w:space="0" w:color="auto"/>
            </w:tcBorders>
            <w:shd w:val="clear" w:color="000000" w:fill="D9E1F2"/>
            <w:noWrap/>
            <w:vAlign w:val="center"/>
            <w:hideMark/>
          </w:tcPr>
          <w:p w14:paraId="4793B4FA" w14:textId="77777777" w:rsidR="00560476" w:rsidRPr="004D436C" w:rsidRDefault="00560476" w:rsidP="0045029C">
            <w:pPr>
              <w:jc w:val="center"/>
              <w:rPr>
                <w:rFonts w:cs="Arial"/>
                <w:b/>
                <w:bCs/>
                <w:color w:val="000000"/>
                <w:sz w:val="18"/>
                <w:szCs w:val="18"/>
              </w:rPr>
            </w:pPr>
            <w:r w:rsidRPr="004D436C">
              <w:rPr>
                <w:rFonts w:cs="Arial"/>
                <w:b/>
                <w:bCs/>
                <w:color w:val="000000"/>
                <w:sz w:val="18"/>
                <w:szCs w:val="18"/>
              </w:rPr>
              <w:t>80V</w:t>
            </w:r>
          </w:p>
        </w:tc>
        <w:tc>
          <w:tcPr>
            <w:tcW w:w="1101" w:type="dxa"/>
            <w:gridSpan w:val="2"/>
            <w:tcBorders>
              <w:top w:val="nil"/>
              <w:left w:val="nil"/>
              <w:bottom w:val="single" w:sz="8" w:space="0" w:color="auto"/>
              <w:right w:val="single" w:sz="4" w:space="0" w:color="auto"/>
            </w:tcBorders>
            <w:shd w:val="clear" w:color="000000" w:fill="D9E1F2"/>
            <w:noWrap/>
            <w:vAlign w:val="center"/>
            <w:hideMark/>
          </w:tcPr>
          <w:p w14:paraId="0892B7E3" w14:textId="77777777" w:rsidR="00560476" w:rsidRPr="004D436C" w:rsidRDefault="00560476" w:rsidP="0045029C">
            <w:pPr>
              <w:jc w:val="center"/>
              <w:rPr>
                <w:rFonts w:cs="Arial"/>
                <w:b/>
                <w:bCs/>
                <w:color w:val="000000"/>
                <w:sz w:val="18"/>
                <w:szCs w:val="18"/>
              </w:rPr>
            </w:pPr>
            <w:r w:rsidRPr="004D436C">
              <w:rPr>
                <w:rFonts w:cs="Arial"/>
                <w:b/>
                <w:bCs/>
                <w:color w:val="000000"/>
                <w:sz w:val="18"/>
                <w:szCs w:val="18"/>
              </w:rPr>
              <w:t>KBS</w:t>
            </w:r>
          </w:p>
        </w:tc>
        <w:tc>
          <w:tcPr>
            <w:tcW w:w="1548" w:type="dxa"/>
            <w:gridSpan w:val="2"/>
            <w:tcBorders>
              <w:top w:val="nil"/>
              <w:left w:val="nil"/>
              <w:bottom w:val="single" w:sz="8" w:space="0" w:color="auto"/>
              <w:right w:val="single" w:sz="4" w:space="0" w:color="auto"/>
            </w:tcBorders>
            <w:shd w:val="clear" w:color="000000" w:fill="D9E1F2"/>
            <w:noWrap/>
            <w:vAlign w:val="center"/>
            <w:hideMark/>
          </w:tcPr>
          <w:p w14:paraId="7FA52380" w14:textId="77777777" w:rsidR="00560476" w:rsidRPr="004D436C" w:rsidRDefault="00560476" w:rsidP="0045029C">
            <w:pPr>
              <w:jc w:val="center"/>
              <w:rPr>
                <w:rFonts w:cs="Arial"/>
                <w:b/>
                <w:bCs/>
                <w:color w:val="000000"/>
                <w:sz w:val="18"/>
                <w:szCs w:val="18"/>
              </w:rPr>
            </w:pPr>
            <w:r w:rsidRPr="004D436C">
              <w:rPr>
                <w:rFonts w:cs="Arial"/>
                <w:b/>
                <w:bCs/>
                <w:color w:val="000000"/>
                <w:sz w:val="18"/>
                <w:szCs w:val="18"/>
              </w:rPr>
              <w:t>X-line</w:t>
            </w:r>
          </w:p>
        </w:tc>
        <w:tc>
          <w:tcPr>
            <w:tcW w:w="4383" w:type="dxa"/>
            <w:gridSpan w:val="2"/>
            <w:tcBorders>
              <w:top w:val="nil"/>
              <w:left w:val="nil"/>
              <w:bottom w:val="single" w:sz="8" w:space="0" w:color="auto"/>
              <w:right w:val="single" w:sz="4" w:space="0" w:color="auto"/>
            </w:tcBorders>
            <w:shd w:val="clear" w:color="000000" w:fill="D9E1F2"/>
            <w:vAlign w:val="center"/>
            <w:hideMark/>
          </w:tcPr>
          <w:p w14:paraId="7D4FF3DC" w14:textId="77777777" w:rsidR="00560476" w:rsidRPr="004D436C" w:rsidRDefault="00560476" w:rsidP="0045029C">
            <w:pPr>
              <w:rPr>
                <w:rFonts w:cs="Arial"/>
                <w:color w:val="000000"/>
                <w:sz w:val="18"/>
                <w:szCs w:val="18"/>
              </w:rPr>
            </w:pPr>
            <w:r w:rsidRPr="004D436C">
              <w:rPr>
                <w:rFonts w:cs="Arial"/>
                <w:color w:val="000000"/>
                <w:sz w:val="18"/>
                <w:szCs w:val="18"/>
              </w:rPr>
              <w:t xml:space="preserve">80 % </w:t>
            </w:r>
            <w:proofErr w:type="spellStart"/>
            <w:r w:rsidRPr="004D436C">
              <w:rPr>
                <w:rFonts w:cs="Arial"/>
                <w:color w:val="000000"/>
                <w:sz w:val="18"/>
                <w:szCs w:val="18"/>
              </w:rPr>
              <w:t>po</w:t>
            </w:r>
            <w:proofErr w:type="spellEnd"/>
            <w:r w:rsidRPr="004D436C">
              <w:rPr>
                <w:rFonts w:cs="Arial"/>
                <w:color w:val="000000"/>
                <w:sz w:val="18"/>
                <w:szCs w:val="18"/>
              </w:rPr>
              <w:t xml:space="preserve"> 5 </w:t>
            </w:r>
            <w:proofErr w:type="spellStart"/>
            <w:r w:rsidRPr="004D436C">
              <w:rPr>
                <w:rFonts w:cs="Arial"/>
                <w:color w:val="000000"/>
                <w:sz w:val="18"/>
                <w:szCs w:val="18"/>
              </w:rPr>
              <w:t>letech</w:t>
            </w:r>
            <w:proofErr w:type="spellEnd"/>
            <w:r w:rsidRPr="004D436C">
              <w:rPr>
                <w:rFonts w:cs="Arial"/>
                <w:color w:val="000000"/>
                <w:sz w:val="18"/>
                <w:szCs w:val="18"/>
              </w:rPr>
              <w:t xml:space="preserve"> </w:t>
            </w:r>
            <w:proofErr w:type="spellStart"/>
            <w:r w:rsidRPr="004D436C">
              <w:rPr>
                <w:rFonts w:cs="Arial"/>
                <w:color w:val="000000"/>
                <w:sz w:val="18"/>
                <w:szCs w:val="18"/>
              </w:rPr>
              <w:t>nebo</w:t>
            </w:r>
            <w:proofErr w:type="spellEnd"/>
            <w:r w:rsidRPr="004D436C">
              <w:rPr>
                <w:rFonts w:cs="Arial"/>
                <w:color w:val="000000"/>
                <w:sz w:val="18"/>
                <w:szCs w:val="18"/>
              </w:rPr>
              <w:t xml:space="preserve"> 2000 </w:t>
            </w:r>
            <w:proofErr w:type="spellStart"/>
            <w:r w:rsidRPr="004D436C">
              <w:rPr>
                <w:rFonts w:cs="Arial"/>
                <w:color w:val="000000"/>
                <w:sz w:val="18"/>
                <w:szCs w:val="18"/>
              </w:rPr>
              <w:t>plných</w:t>
            </w:r>
            <w:proofErr w:type="spellEnd"/>
            <w:r w:rsidRPr="004D436C">
              <w:rPr>
                <w:rFonts w:cs="Arial"/>
                <w:color w:val="000000"/>
                <w:sz w:val="18"/>
                <w:szCs w:val="18"/>
              </w:rPr>
              <w:t xml:space="preserve"> </w:t>
            </w:r>
            <w:proofErr w:type="spellStart"/>
            <w:r w:rsidRPr="004D436C">
              <w:rPr>
                <w:rFonts w:cs="Arial"/>
                <w:color w:val="000000"/>
                <w:sz w:val="18"/>
                <w:szCs w:val="18"/>
              </w:rPr>
              <w:t>nabíjecích</w:t>
            </w:r>
            <w:proofErr w:type="spellEnd"/>
            <w:r w:rsidRPr="004D436C">
              <w:rPr>
                <w:rFonts w:cs="Arial"/>
                <w:color w:val="000000"/>
                <w:sz w:val="18"/>
                <w:szCs w:val="18"/>
              </w:rPr>
              <w:t xml:space="preserve"> </w:t>
            </w:r>
            <w:proofErr w:type="spellStart"/>
            <w:r w:rsidRPr="004D436C">
              <w:rPr>
                <w:rFonts w:cs="Arial"/>
                <w:color w:val="000000"/>
                <w:sz w:val="18"/>
                <w:szCs w:val="18"/>
              </w:rPr>
              <w:t>cyklech</w:t>
            </w:r>
            <w:proofErr w:type="spellEnd"/>
            <w:r w:rsidRPr="004D436C">
              <w:rPr>
                <w:rFonts w:cs="Arial"/>
                <w:color w:val="000000"/>
                <w:sz w:val="18"/>
                <w:szCs w:val="18"/>
              </w:rPr>
              <w:t xml:space="preserve">. </w:t>
            </w:r>
            <w:proofErr w:type="spellStart"/>
            <w:r w:rsidRPr="004D436C">
              <w:rPr>
                <w:rFonts w:cs="Arial"/>
                <w:color w:val="000000"/>
                <w:sz w:val="18"/>
                <w:szCs w:val="18"/>
              </w:rPr>
              <w:t>Dle</w:t>
            </w:r>
            <w:proofErr w:type="spellEnd"/>
            <w:r w:rsidRPr="004D436C">
              <w:rPr>
                <w:rFonts w:cs="Arial"/>
                <w:color w:val="000000"/>
                <w:sz w:val="18"/>
                <w:szCs w:val="18"/>
              </w:rPr>
              <w:t xml:space="preserve"> </w:t>
            </w:r>
            <w:proofErr w:type="spellStart"/>
            <w:r w:rsidRPr="004D436C">
              <w:rPr>
                <w:rFonts w:cs="Arial"/>
                <w:color w:val="000000"/>
                <w:sz w:val="18"/>
                <w:szCs w:val="18"/>
              </w:rPr>
              <w:t>toho</w:t>
            </w:r>
            <w:proofErr w:type="spellEnd"/>
            <w:r w:rsidRPr="004D436C">
              <w:rPr>
                <w:rFonts w:cs="Arial"/>
                <w:color w:val="000000"/>
                <w:sz w:val="18"/>
                <w:szCs w:val="18"/>
              </w:rPr>
              <w:t xml:space="preserve"> </w:t>
            </w:r>
            <w:proofErr w:type="spellStart"/>
            <w:r w:rsidRPr="004D436C">
              <w:rPr>
                <w:rFonts w:cs="Arial"/>
                <w:color w:val="000000"/>
                <w:sz w:val="18"/>
                <w:szCs w:val="18"/>
              </w:rPr>
              <w:t>co</w:t>
            </w:r>
            <w:proofErr w:type="spellEnd"/>
            <w:r w:rsidRPr="004D436C">
              <w:rPr>
                <w:rFonts w:cs="Arial"/>
                <w:color w:val="000000"/>
                <w:sz w:val="18"/>
                <w:szCs w:val="18"/>
              </w:rPr>
              <w:t xml:space="preserve"> </w:t>
            </w:r>
            <w:proofErr w:type="spellStart"/>
            <w:r w:rsidRPr="004D436C">
              <w:rPr>
                <w:rFonts w:cs="Arial"/>
                <w:color w:val="000000"/>
                <w:sz w:val="18"/>
                <w:szCs w:val="18"/>
              </w:rPr>
              <w:t>nastane</w:t>
            </w:r>
            <w:proofErr w:type="spellEnd"/>
            <w:r w:rsidRPr="004D436C">
              <w:rPr>
                <w:rFonts w:cs="Arial"/>
                <w:color w:val="000000"/>
                <w:sz w:val="18"/>
                <w:szCs w:val="18"/>
              </w:rPr>
              <w:t xml:space="preserve"> </w:t>
            </w:r>
            <w:proofErr w:type="spellStart"/>
            <w:r w:rsidRPr="004D436C">
              <w:rPr>
                <w:rFonts w:cs="Arial"/>
                <w:color w:val="000000"/>
                <w:sz w:val="18"/>
                <w:szCs w:val="18"/>
              </w:rPr>
              <w:t>dříve</w:t>
            </w:r>
            <w:proofErr w:type="spellEnd"/>
            <w:r w:rsidRPr="004D436C">
              <w:rPr>
                <w:rFonts w:cs="Arial"/>
                <w:color w:val="000000"/>
                <w:sz w:val="18"/>
                <w:szCs w:val="18"/>
              </w:rPr>
              <w:t>.</w:t>
            </w:r>
          </w:p>
        </w:tc>
        <w:tc>
          <w:tcPr>
            <w:tcW w:w="2237" w:type="dxa"/>
            <w:gridSpan w:val="2"/>
            <w:tcBorders>
              <w:top w:val="nil"/>
              <w:left w:val="nil"/>
              <w:bottom w:val="single" w:sz="8" w:space="0" w:color="auto"/>
              <w:right w:val="single" w:sz="8" w:space="0" w:color="auto"/>
            </w:tcBorders>
            <w:shd w:val="clear" w:color="000000" w:fill="D9E1F2"/>
            <w:vAlign w:val="center"/>
            <w:hideMark/>
          </w:tcPr>
          <w:p w14:paraId="7F4B439E" w14:textId="77777777" w:rsidR="00560476" w:rsidRPr="004D436C" w:rsidRDefault="00560476" w:rsidP="0045029C">
            <w:pPr>
              <w:rPr>
                <w:rFonts w:cs="Arial"/>
                <w:color w:val="000000"/>
                <w:sz w:val="18"/>
                <w:szCs w:val="18"/>
              </w:rPr>
            </w:pPr>
            <w:proofErr w:type="spellStart"/>
            <w:r w:rsidRPr="004D436C">
              <w:rPr>
                <w:rFonts w:cs="Arial"/>
                <w:color w:val="000000"/>
                <w:sz w:val="18"/>
                <w:szCs w:val="18"/>
              </w:rPr>
              <w:t>Plná</w:t>
            </w:r>
            <w:proofErr w:type="spellEnd"/>
            <w:r w:rsidRPr="004D436C">
              <w:rPr>
                <w:rFonts w:cs="Arial"/>
                <w:color w:val="000000"/>
                <w:sz w:val="18"/>
                <w:szCs w:val="18"/>
              </w:rPr>
              <w:t xml:space="preserve"> </w:t>
            </w:r>
            <w:proofErr w:type="spellStart"/>
            <w:r w:rsidRPr="004D436C">
              <w:rPr>
                <w:rFonts w:cs="Arial"/>
                <w:color w:val="000000"/>
                <w:sz w:val="18"/>
                <w:szCs w:val="18"/>
              </w:rPr>
              <w:t>záruka</w:t>
            </w:r>
            <w:proofErr w:type="spellEnd"/>
            <w:r w:rsidRPr="004D436C">
              <w:rPr>
                <w:rFonts w:cs="Arial"/>
                <w:color w:val="000000"/>
                <w:sz w:val="18"/>
                <w:szCs w:val="18"/>
              </w:rPr>
              <w:t xml:space="preserve"> </w:t>
            </w:r>
            <w:proofErr w:type="spellStart"/>
            <w:r w:rsidRPr="004D436C">
              <w:rPr>
                <w:rFonts w:cs="Arial"/>
                <w:color w:val="000000"/>
                <w:sz w:val="18"/>
                <w:szCs w:val="18"/>
              </w:rPr>
              <w:t>po</w:t>
            </w:r>
            <w:proofErr w:type="spellEnd"/>
            <w:r w:rsidRPr="004D436C">
              <w:rPr>
                <w:rFonts w:cs="Arial"/>
                <w:color w:val="000000"/>
                <w:sz w:val="18"/>
                <w:szCs w:val="18"/>
              </w:rPr>
              <w:t xml:space="preserve"> </w:t>
            </w:r>
            <w:proofErr w:type="spellStart"/>
            <w:r w:rsidRPr="004D436C">
              <w:rPr>
                <w:rFonts w:cs="Arial"/>
                <w:color w:val="000000"/>
                <w:sz w:val="18"/>
                <w:szCs w:val="18"/>
              </w:rPr>
              <w:t>dobu</w:t>
            </w:r>
            <w:proofErr w:type="spellEnd"/>
            <w:r w:rsidRPr="004D436C">
              <w:rPr>
                <w:rFonts w:cs="Arial"/>
                <w:color w:val="000000"/>
                <w:sz w:val="18"/>
                <w:szCs w:val="18"/>
              </w:rPr>
              <w:t xml:space="preserve"> 5 </w:t>
            </w:r>
            <w:proofErr w:type="spellStart"/>
            <w:r w:rsidRPr="004D436C">
              <w:rPr>
                <w:rFonts w:cs="Arial"/>
                <w:color w:val="000000"/>
                <w:sz w:val="18"/>
                <w:szCs w:val="18"/>
              </w:rPr>
              <w:t>let</w:t>
            </w:r>
            <w:proofErr w:type="spellEnd"/>
            <w:r w:rsidRPr="004D436C">
              <w:rPr>
                <w:rFonts w:cs="Arial"/>
                <w:color w:val="000000"/>
                <w:sz w:val="18"/>
                <w:szCs w:val="18"/>
              </w:rPr>
              <w:t xml:space="preserve"> </w:t>
            </w:r>
            <w:proofErr w:type="spellStart"/>
            <w:r w:rsidRPr="004D436C">
              <w:rPr>
                <w:rFonts w:cs="Arial"/>
                <w:color w:val="000000"/>
                <w:sz w:val="18"/>
                <w:szCs w:val="18"/>
              </w:rPr>
              <w:t>nebo</w:t>
            </w:r>
            <w:proofErr w:type="spellEnd"/>
            <w:r w:rsidRPr="004D436C">
              <w:rPr>
                <w:rFonts w:cs="Arial"/>
                <w:color w:val="000000"/>
                <w:sz w:val="18"/>
                <w:szCs w:val="18"/>
              </w:rPr>
              <w:t xml:space="preserve"> max. 2000 </w:t>
            </w:r>
            <w:proofErr w:type="spellStart"/>
            <w:r w:rsidRPr="004D436C">
              <w:rPr>
                <w:rFonts w:cs="Arial"/>
                <w:color w:val="000000"/>
                <w:sz w:val="18"/>
                <w:szCs w:val="18"/>
              </w:rPr>
              <w:t>plných</w:t>
            </w:r>
            <w:proofErr w:type="spellEnd"/>
            <w:r w:rsidRPr="004D436C">
              <w:rPr>
                <w:rFonts w:cs="Arial"/>
                <w:color w:val="000000"/>
                <w:sz w:val="18"/>
                <w:szCs w:val="18"/>
              </w:rPr>
              <w:t xml:space="preserve"> </w:t>
            </w:r>
            <w:proofErr w:type="spellStart"/>
            <w:r w:rsidRPr="004D436C">
              <w:rPr>
                <w:rFonts w:cs="Arial"/>
                <w:color w:val="000000"/>
                <w:sz w:val="18"/>
                <w:szCs w:val="18"/>
              </w:rPr>
              <w:t>nabíjecích</w:t>
            </w:r>
            <w:proofErr w:type="spellEnd"/>
            <w:r w:rsidRPr="004D436C">
              <w:rPr>
                <w:rFonts w:cs="Arial"/>
                <w:color w:val="000000"/>
                <w:sz w:val="18"/>
                <w:szCs w:val="18"/>
              </w:rPr>
              <w:t xml:space="preserve"> </w:t>
            </w:r>
            <w:proofErr w:type="spellStart"/>
            <w:r w:rsidRPr="004D436C">
              <w:rPr>
                <w:rFonts w:cs="Arial"/>
                <w:color w:val="000000"/>
                <w:sz w:val="18"/>
                <w:szCs w:val="18"/>
              </w:rPr>
              <w:t>cyklů</w:t>
            </w:r>
            <w:proofErr w:type="spellEnd"/>
            <w:r w:rsidRPr="004D436C">
              <w:rPr>
                <w:rFonts w:cs="Arial"/>
                <w:color w:val="000000"/>
                <w:sz w:val="18"/>
                <w:szCs w:val="18"/>
              </w:rPr>
              <w:t xml:space="preserve">. </w:t>
            </w:r>
            <w:proofErr w:type="spellStart"/>
            <w:r w:rsidRPr="004D436C">
              <w:rPr>
                <w:rFonts w:cs="Arial"/>
                <w:color w:val="000000"/>
                <w:sz w:val="18"/>
                <w:szCs w:val="18"/>
              </w:rPr>
              <w:t>Dle</w:t>
            </w:r>
            <w:proofErr w:type="spellEnd"/>
            <w:r w:rsidRPr="004D436C">
              <w:rPr>
                <w:rFonts w:cs="Arial"/>
                <w:color w:val="000000"/>
                <w:sz w:val="18"/>
                <w:szCs w:val="18"/>
              </w:rPr>
              <w:t xml:space="preserve"> </w:t>
            </w:r>
            <w:proofErr w:type="spellStart"/>
            <w:r w:rsidRPr="004D436C">
              <w:rPr>
                <w:rFonts w:cs="Arial"/>
                <w:color w:val="000000"/>
                <w:sz w:val="18"/>
                <w:szCs w:val="18"/>
              </w:rPr>
              <w:t>toho</w:t>
            </w:r>
            <w:proofErr w:type="spellEnd"/>
            <w:r w:rsidRPr="004D436C">
              <w:rPr>
                <w:rFonts w:cs="Arial"/>
                <w:color w:val="000000"/>
                <w:sz w:val="18"/>
                <w:szCs w:val="18"/>
              </w:rPr>
              <w:t xml:space="preserve"> </w:t>
            </w:r>
            <w:proofErr w:type="spellStart"/>
            <w:r w:rsidRPr="004D436C">
              <w:rPr>
                <w:rFonts w:cs="Arial"/>
                <w:color w:val="000000"/>
                <w:sz w:val="18"/>
                <w:szCs w:val="18"/>
              </w:rPr>
              <w:t>co</w:t>
            </w:r>
            <w:proofErr w:type="spellEnd"/>
            <w:r w:rsidRPr="004D436C">
              <w:rPr>
                <w:rFonts w:cs="Arial"/>
                <w:color w:val="000000"/>
                <w:sz w:val="18"/>
                <w:szCs w:val="18"/>
              </w:rPr>
              <w:t xml:space="preserve"> </w:t>
            </w:r>
            <w:proofErr w:type="spellStart"/>
            <w:r w:rsidRPr="004D436C">
              <w:rPr>
                <w:rFonts w:cs="Arial"/>
                <w:color w:val="000000"/>
                <w:sz w:val="18"/>
                <w:szCs w:val="18"/>
              </w:rPr>
              <w:t>nastane</w:t>
            </w:r>
            <w:proofErr w:type="spellEnd"/>
            <w:r w:rsidRPr="004D436C">
              <w:rPr>
                <w:rFonts w:cs="Arial"/>
                <w:color w:val="000000"/>
                <w:sz w:val="18"/>
                <w:szCs w:val="18"/>
              </w:rPr>
              <w:t xml:space="preserve"> </w:t>
            </w:r>
            <w:proofErr w:type="spellStart"/>
            <w:r w:rsidRPr="004D436C">
              <w:rPr>
                <w:rFonts w:cs="Arial"/>
                <w:color w:val="000000"/>
                <w:sz w:val="18"/>
                <w:szCs w:val="18"/>
              </w:rPr>
              <w:t>dříve</w:t>
            </w:r>
            <w:proofErr w:type="spellEnd"/>
            <w:r w:rsidRPr="004D436C">
              <w:rPr>
                <w:rFonts w:cs="Arial"/>
                <w:color w:val="000000"/>
                <w:sz w:val="18"/>
                <w:szCs w:val="18"/>
              </w:rPr>
              <w:t xml:space="preserve">. </w:t>
            </w:r>
            <w:proofErr w:type="spellStart"/>
            <w:r w:rsidRPr="004D436C">
              <w:rPr>
                <w:rFonts w:cs="Arial"/>
                <w:color w:val="000000"/>
                <w:sz w:val="18"/>
                <w:szCs w:val="18"/>
              </w:rPr>
              <w:t>Záruka</w:t>
            </w:r>
            <w:proofErr w:type="spellEnd"/>
            <w:r w:rsidRPr="004D436C">
              <w:rPr>
                <w:rFonts w:cs="Arial"/>
                <w:color w:val="000000"/>
                <w:sz w:val="18"/>
                <w:szCs w:val="18"/>
              </w:rPr>
              <w:t xml:space="preserve"> se </w:t>
            </w:r>
            <w:proofErr w:type="spellStart"/>
            <w:r w:rsidRPr="004D436C">
              <w:rPr>
                <w:rFonts w:cs="Arial"/>
                <w:color w:val="000000"/>
                <w:sz w:val="18"/>
                <w:szCs w:val="18"/>
              </w:rPr>
              <w:t>nevztahuje</w:t>
            </w:r>
            <w:proofErr w:type="spellEnd"/>
            <w:r w:rsidRPr="004D436C">
              <w:rPr>
                <w:rFonts w:cs="Arial"/>
                <w:color w:val="000000"/>
                <w:sz w:val="18"/>
                <w:szCs w:val="18"/>
              </w:rPr>
              <w:t xml:space="preserve"> se na </w:t>
            </w:r>
            <w:proofErr w:type="spellStart"/>
            <w:r w:rsidRPr="004D436C">
              <w:rPr>
                <w:rFonts w:cs="Arial"/>
                <w:color w:val="000000"/>
                <w:sz w:val="18"/>
                <w:szCs w:val="18"/>
              </w:rPr>
              <w:t>silový</w:t>
            </w:r>
            <w:proofErr w:type="spellEnd"/>
            <w:r w:rsidRPr="004D436C">
              <w:rPr>
                <w:rFonts w:cs="Arial"/>
                <w:color w:val="000000"/>
                <w:sz w:val="18"/>
                <w:szCs w:val="18"/>
              </w:rPr>
              <w:t xml:space="preserve"> a </w:t>
            </w:r>
            <w:proofErr w:type="spellStart"/>
            <w:r w:rsidRPr="004D436C">
              <w:rPr>
                <w:rFonts w:cs="Arial"/>
                <w:color w:val="000000"/>
                <w:sz w:val="18"/>
                <w:szCs w:val="18"/>
              </w:rPr>
              <w:t>diagnostický</w:t>
            </w:r>
            <w:proofErr w:type="spellEnd"/>
            <w:r w:rsidRPr="004D436C">
              <w:rPr>
                <w:rFonts w:cs="Arial"/>
                <w:color w:val="000000"/>
                <w:sz w:val="18"/>
                <w:szCs w:val="18"/>
              </w:rPr>
              <w:t xml:space="preserve"> </w:t>
            </w:r>
            <w:proofErr w:type="spellStart"/>
            <w:r w:rsidRPr="004D436C">
              <w:rPr>
                <w:rFonts w:cs="Arial"/>
                <w:color w:val="000000"/>
                <w:sz w:val="18"/>
                <w:szCs w:val="18"/>
              </w:rPr>
              <w:t>připojovací</w:t>
            </w:r>
            <w:proofErr w:type="spellEnd"/>
            <w:r w:rsidRPr="004D436C">
              <w:rPr>
                <w:rFonts w:cs="Arial"/>
                <w:color w:val="000000"/>
                <w:sz w:val="18"/>
                <w:szCs w:val="18"/>
              </w:rPr>
              <w:t xml:space="preserve"> </w:t>
            </w:r>
            <w:proofErr w:type="spellStart"/>
            <w:r w:rsidRPr="004D436C">
              <w:rPr>
                <w:rFonts w:cs="Arial"/>
                <w:color w:val="000000"/>
                <w:sz w:val="18"/>
                <w:szCs w:val="18"/>
              </w:rPr>
              <w:t>kabel</w:t>
            </w:r>
            <w:proofErr w:type="spellEnd"/>
            <w:r w:rsidRPr="004D436C">
              <w:rPr>
                <w:rFonts w:cs="Arial"/>
                <w:color w:val="000000"/>
                <w:sz w:val="18"/>
                <w:szCs w:val="18"/>
              </w:rPr>
              <w:t xml:space="preserve"> a +/- </w:t>
            </w:r>
            <w:proofErr w:type="spellStart"/>
            <w:r w:rsidRPr="004D436C">
              <w:rPr>
                <w:rFonts w:cs="Arial"/>
                <w:color w:val="000000"/>
                <w:sz w:val="18"/>
                <w:szCs w:val="18"/>
              </w:rPr>
              <w:t>konektory</w:t>
            </w:r>
            <w:proofErr w:type="spellEnd"/>
            <w:r w:rsidRPr="004D436C">
              <w:rPr>
                <w:rFonts w:cs="Arial"/>
                <w:color w:val="000000"/>
                <w:sz w:val="18"/>
                <w:szCs w:val="18"/>
              </w:rPr>
              <w:t xml:space="preserve"> </w:t>
            </w:r>
            <w:proofErr w:type="spellStart"/>
            <w:r w:rsidRPr="004D436C">
              <w:rPr>
                <w:rFonts w:cs="Arial"/>
                <w:color w:val="000000"/>
                <w:sz w:val="18"/>
                <w:szCs w:val="18"/>
              </w:rPr>
              <w:t>baterie</w:t>
            </w:r>
            <w:proofErr w:type="spellEnd"/>
          </w:p>
        </w:tc>
      </w:tr>
      <w:tr w:rsidR="00560476" w:rsidRPr="004D436C" w14:paraId="0EBEC57C" w14:textId="77777777" w:rsidTr="004823B7">
        <w:trPr>
          <w:gridAfter w:val="1"/>
          <w:wAfter w:w="188" w:type="dxa"/>
          <w:trHeight w:val="264"/>
        </w:trPr>
        <w:tc>
          <w:tcPr>
            <w:tcW w:w="941" w:type="dxa"/>
            <w:tcBorders>
              <w:top w:val="nil"/>
              <w:left w:val="nil"/>
              <w:bottom w:val="nil"/>
              <w:right w:val="nil"/>
            </w:tcBorders>
            <w:shd w:val="clear" w:color="auto" w:fill="auto"/>
            <w:noWrap/>
            <w:vAlign w:val="bottom"/>
            <w:hideMark/>
          </w:tcPr>
          <w:p w14:paraId="66E76E62" w14:textId="77777777" w:rsidR="00560476" w:rsidRPr="004D436C" w:rsidRDefault="00560476" w:rsidP="0045029C">
            <w:pPr>
              <w:rPr>
                <w:rFonts w:cs="Arial"/>
                <w:color w:val="000000"/>
                <w:sz w:val="18"/>
                <w:szCs w:val="18"/>
              </w:rPr>
            </w:pPr>
          </w:p>
        </w:tc>
        <w:tc>
          <w:tcPr>
            <w:tcW w:w="1101" w:type="dxa"/>
            <w:gridSpan w:val="2"/>
            <w:tcBorders>
              <w:top w:val="nil"/>
              <w:left w:val="nil"/>
              <w:bottom w:val="nil"/>
              <w:right w:val="nil"/>
            </w:tcBorders>
            <w:shd w:val="clear" w:color="auto" w:fill="auto"/>
            <w:noWrap/>
            <w:vAlign w:val="bottom"/>
            <w:hideMark/>
          </w:tcPr>
          <w:p w14:paraId="57828D27" w14:textId="77777777" w:rsidR="00560476" w:rsidRPr="004D436C" w:rsidRDefault="00560476" w:rsidP="0045029C">
            <w:pPr>
              <w:rPr>
                <w:sz w:val="18"/>
                <w:szCs w:val="18"/>
              </w:rPr>
            </w:pPr>
          </w:p>
        </w:tc>
        <w:tc>
          <w:tcPr>
            <w:tcW w:w="1548" w:type="dxa"/>
            <w:gridSpan w:val="2"/>
            <w:tcBorders>
              <w:top w:val="nil"/>
              <w:left w:val="nil"/>
              <w:bottom w:val="nil"/>
              <w:right w:val="nil"/>
            </w:tcBorders>
            <w:shd w:val="clear" w:color="auto" w:fill="auto"/>
            <w:noWrap/>
            <w:vAlign w:val="bottom"/>
            <w:hideMark/>
          </w:tcPr>
          <w:p w14:paraId="466DEC0E" w14:textId="77777777" w:rsidR="00560476" w:rsidRPr="004D436C" w:rsidRDefault="00560476" w:rsidP="0045029C">
            <w:pPr>
              <w:rPr>
                <w:sz w:val="18"/>
                <w:szCs w:val="18"/>
              </w:rPr>
            </w:pPr>
          </w:p>
        </w:tc>
        <w:tc>
          <w:tcPr>
            <w:tcW w:w="4383" w:type="dxa"/>
            <w:gridSpan w:val="2"/>
            <w:tcBorders>
              <w:top w:val="nil"/>
              <w:left w:val="nil"/>
              <w:bottom w:val="nil"/>
              <w:right w:val="nil"/>
            </w:tcBorders>
            <w:shd w:val="clear" w:color="auto" w:fill="auto"/>
            <w:noWrap/>
            <w:vAlign w:val="bottom"/>
            <w:hideMark/>
          </w:tcPr>
          <w:p w14:paraId="0205BB98" w14:textId="77777777" w:rsidR="00560476" w:rsidRPr="004D436C" w:rsidRDefault="00560476" w:rsidP="0045029C">
            <w:pPr>
              <w:rPr>
                <w:sz w:val="18"/>
                <w:szCs w:val="18"/>
              </w:rPr>
            </w:pPr>
          </w:p>
        </w:tc>
        <w:tc>
          <w:tcPr>
            <w:tcW w:w="2237" w:type="dxa"/>
            <w:gridSpan w:val="2"/>
            <w:tcBorders>
              <w:top w:val="nil"/>
              <w:left w:val="nil"/>
              <w:bottom w:val="nil"/>
              <w:right w:val="nil"/>
            </w:tcBorders>
            <w:shd w:val="clear" w:color="auto" w:fill="auto"/>
            <w:noWrap/>
            <w:vAlign w:val="bottom"/>
            <w:hideMark/>
          </w:tcPr>
          <w:p w14:paraId="30FA55EA" w14:textId="77777777" w:rsidR="00560476" w:rsidRPr="004D436C" w:rsidRDefault="00560476" w:rsidP="0045029C">
            <w:pPr>
              <w:rPr>
                <w:sz w:val="18"/>
                <w:szCs w:val="18"/>
              </w:rPr>
            </w:pPr>
          </w:p>
        </w:tc>
      </w:tr>
      <w:tr w:rsidR="00560476" w:rsidRPr="00104939" w14:paraId="41C764F4" w14:textId="77777777" w:rsidTr="004823B7">
        <w:trPr>
          <w:trHeight w:val="264"/>
        </w:trPr>
        <w:tc>
          <w:tcPr>
            <w:tcW w:w="8208" w:type="dxa"/>
            <w:gridSpan w:val="8"/>
            <w:tcBorders>
              <w:top w:val="nil"/>
              <w:left w:val="nil"/>
              <w:bottom w:val="nil"/>
              <w:right w:val="nil"/>
            </w:tcBorders>
            <w:shd w:val="clear" w:color="auto" w:fill="auto"/>
            <w:noWrap/>
            <w:vAlign w:val="bottom"/>
            <w:hideMark/>
          </w:tcPr>
          <w:p w14:paraId="44E5FCB3" w14:textId="77777777" w:rsidR="00560476" w:rsidRPr="00104939" w:rsidRDefault="00560476" w:rsidP="0045029C">
            <w:pPr>
              <w:rPr>
                <w:rFonts w:cs="Arial"/>
                <w:i/>
                <w:iCs/>
                <w:color w:val="000000"/>
              </w:rPr>
            </w:pPr>
            <w:r w:rsidRPr="00104939">
              <w:rPr>
                <w:rFonts w:cs="Arial"/>
                <w:i/>
                <w:iCs/>
                <w:color w:val="000000"/>
              </w:rPr>
              <w:t xml:space="preserve">- </w:t>
            </w:r>
            <w:proofErr w:type="spellStart"/>
            <w:r w:rsidRPr="00104939">
              <w:rPr>
                <w:rFonts w:cs="Arial"/>
                <w:i/>
                <w:iCs/>
                <w:color w:val="000000"/>
              </w:rPr>
              <w:t>záruka</w:t>
            </w:r>
            <w:proofErr w:type="spellEnd"/>
            <w:r w:rsidRPr="00104939">
              <w:rPr>
                <w:rFonts w:cs="Arial"/>
                <w:i/>
                <w:iCs/>
                <w:color w:val="000000"/>
              </w:rPr>
              <w:t xml:space="preserve"> se </w:t>
            </w:r>
            <w:proofErr w:type="spellStart"/>
            <w:r w:rsidRPr="00104939">
              <w:rPr>
                <w:rFonts w:cs="Arial"/>
                <w:i/>
                <w:iCs/>
                <w:color w:val="000000"/>
              </w:rPr>
              <w:t>vztahuje</w:t>
            </w:r>
            <w:proofErr w:type="spellEnd"/>
            <w:r w:rsidRPr="00104939">
              <w:rPr>
                <w:rFonts w:cs="Arial"/>
                <w:i/>
                <w:iCs/>
                <w:color w:val="000000"/>
              </w:rPr>
              <w:t xml:space="preserve"> </w:t>
            </w:r>
            <w:proofErr w:type="spellStart"/>
            <w:r w:rsidRPr="00104939">
              <w:rPr>
                <w:rFonts w:cs="Arial"/>
                <w:i/>
                <w:iCs/>
                <w:color w:val="000000"/>
              </w:rPr>
              <w:t>pouze</w:t>
            </w:r>
            <w:proofErr w:type="spellEnd"/>
            <w:r w:rsidRPr="00104939">
              <w:rPr>
                <w:rFonts w:cs="Arial"/>
                <w:i/>
                <w:iCs/>
                <w:color w:val="000000"/>
              </w:rPr>
              <w:t xml:space="preserve"> na </w:t>
            </w:r>
            <w:proofErr w:type="spellStart"/>
            <w:r w:rsidRPr="00104939">
              <w:rPr>
                <w:rFonts w:cs="Arial"/>
                <w:i/>
                <w:iCs/>
                <w:color w:val="000000"/>
              </w:rPr>
              <w:t>výrobky</w:t>
            </w:r>
            <w:proofErr w:type="spellEnd"/>
            <w:r w:rsidRPr="00104939">
              <w:rPr>
                <w:rFonts w:cs="Arial"/>
                <w:i/>
                <w:iCs/>
                <w:color w:val="000000"/>
              </w:rPr>
              <w:t xml:space="preserve"> </w:t>
            </w:r>
            <w:proofErr w:type="spellStart"/>
            <w:r w:rsidRPr="00104939">
              <w:rPr>
                <w:rFonts w:cs="Arial"/>
                <w:i/>
                <w:iCs/>
                <w:color w:val="000000"/>
              </w:rPr>
              <w:t>prodané</w:t>
            </w:r>
            <w:proofErr w:type="spellEnd"/>
            <w:r w:rsidRPr="00104939">
              <w:rPr>
                <w:rFonts w:cs="Arial"/>
                <w:i/>
                <w:iCs/>
                <w:color w:val="000000"/>
              </w:rPr>
              <w:t xml:space="preserve"> </w:t>
            </w:r>
            <w:proofErr w:type="spellStart"/>
            <w:r w:rsidRPr="00104939">
              <w:rPr>
                <w:rFonts w:cs="Arial"/>
                <w:i/>
                <w:iCs/>
                <w:color w:val="000000"/>
              </w:rPr>
              <w:t>firmou</w:t>
            </w:r>
            <w:proofErr w:type="spellEnd"/>
            <w:r w:rsidRPr="00104939">
              <w:rPr>
                <w:rFonts w:cs="Arial"/>
                <w:i/>
                <w:iCs/>
                <w:color w:val="000000"/>
              </w:rPr>
              <w:t xml:space="preserve"> STILL</w:t>
            </w:r>
          </w:p>
        </w:tc>
        <w:tc>
          <w:tcPr>
            <w:tcW w:w="2190" w:type="dxa"/>
            <w:gridSpan w:val="2"/>
            <w:tcBorders>
              <w:top w:val="nil"/>
              <w:left w:val="nil"/>
              <w:bottom w:val="nil"/>
              <w:right w:val="nil"/>
            </w:tcBorders>
            <w:shd w:val="clear" w:color="auto" w:fill="auto"/>
            <w:noWrap/>
            <w:vAlign w:val="bottom"/>
            <w:hideMark/>
          </w:tcPr>
          <w:p w14:paraId="461C2BC1" w14:textId="77777777" w:rsidR="00560476" w:rsidRPr="00104939" w:rsidRDefault="00560476" w:rsidP="0045029C">
            <w:pPr>
              <w:rPr>
                <w:rFonts w:cs="Arial"/>
                <w:i/>
                <w:iCs/>
                <w:color w:val="000000"/>
              </w:rPr>
            </w:pPr>
          </w:p>
        </w:tc>
      </w:tr>
      <w:tr w:rsidR="00560476" w:rsidRPr="00104939" w14:paraId="0B0CD45F" w14:textId="77777777" w:rsidTr="004823B7">
        <w:trPr>
          <w:trHeight w:val="264"/>
        </w:trPr>
        <w:tc>
          <w:tcPr>
            <w:tcW w:w="8208" w:type="dxa"/>
            <w:gridSpan w:val="8"/>
            <w:tcBorders>
              <w:top w:val="nil"/>
              <w:left w:val="nil"/>
              <w:bottom w:val="nil"/>
              <w:right w:val="nil"/>
            </w:tcBorders>
            <w:shd w:val="clear" w:color="auto" w:fill="auto"/>
            <w:noWrap/>
            <w:vAlign w:val="bottom"/>
            <w:hideMark/>
          </w:tcPr>
          <w:p w14:paraId="1978B651" w14:textId="77777777" w:rsidR="00560476" w:rsidRPr="00104939" w:rsidRDefault="00560476" w:rsidP="0045029C">
            <w:pPr>
              <w:rPr>
                <w:rFonts w:cs="Arial"/>
                <w:i/>
                <w:iCs/>
                <w:color w:val="000000"/>
              </w:rPr>
            </w:pPr>
            <w:r w:rsidRPr="00104939">
              <w:rPr>
                <w:rFonts w:cs="Arial"/>
                <w:i/>
                <w:iCs/>
                <w:color w:val="000000"/>
              </w:rPr>
              <w:t xml:space="preserve">- </w:t>
            </w:r>
            <w:proofErr w:type="spellStart"/>
            <w:r w:rsidRPr="00104939">
              <w:rPr>
                <w:rFonts w:cs="Arial"/>
                <w:i/>
                <w:iCs/>
                <w:color w:val="000000"/>
              </w:rPr>
              <w:t>záruka</w:t>
            </w:r>
            <w:proofErr w:type="spellEnd"/>
            <w:r w:rsidRPr="00104939">
              <w:rPr>
                <w:rFonts w:cs="Arial"/>
                <w:i/>
                <w:iCs/>
                <w:color w:val="000000"/>
              </w:rPr>
              <w:t xml:space="preserve"> </w:t>
            </w:r>
            <w:proofErr w:type="spellStart"/>
            <w:r w:rsidRPr="00104939">
              <w:rPr>
                <w:rFonts w:cs="Arial"/>
                <w:i/>
                <w:iCs/>
                <w:color w:val="000000"/>
              </w:rPr>
              <w:t>neplatí</w:t>
            </w:r>
            <w:proofErr w:type="spellEnd"/>
            <w:r w:rsidRPr="00104939">
              <w:rPr>
                <w:rFonts w:cs="Arial"/>
                <w:i/>
                <w:iCs/>
                <w:color w:val="000000"/>
              </w:rPr>
              <w:t xml:space="preserve"> pro </w:t>
            </w:r>
            <w:proofErr w:type="spellStart"/>
            <w:r w:rsidRPr="00104939">
              <w:rPr>
                <w:rFonts w:cs="Arial"/>
                <w:i/>
                <w:iCs/>
                <w:color w:val="000000"/>
              </w:rPr>
              <w:t>dealery</w:t>
            </w:r>
            <w:proofErr w:type="spellEnd"/>
          </w:p>
        </w:tc>
        <w:tc>
          <w:tcPr>
            <w:tcW w:w="2190" w:type="dxa"/>
            <w:gridSpan w:val="2"/>
            <w:tcBorders>
              <w:top w:val="nil"/>
              <w:left w:val="nil"/>
              <w:bottom w:val="nil"/>
              <w:right w:val="nil"/>
            </w:tcBorders>
            <w:shd w:val="clear" w:color="auto" w:fill="auto"/>
            <w:noWrap/>
            <w:vAlign w:val="bottom"/>
            <w:hideMark/>
          </w:tcPr>
          <w:p w14:paraId="46F6F474" w14:textId="77777777" w:rsidR="00560476" w:rsidRPr="00104939" w:rsidRDefault="00560476" w:rsidP="0045029C">
            <w:pPr>
              <w:rPr>
                <w:rFonts w:cs="Arial"/>
                <w:i/>
                <w:iCs/>
                <w:color w:val="000000"/>
              </w:rPr>
            </w:pPr>
          </w:p>
        </w:tc>
      </w:tr>
      <w:tr w:rsidR="00560476" w:rsidRPr="00104939" w14:paraId="7D162412" w14:textId="77777777" w:rsidTr="004823B7">
        <w:trPr>
          <w:trHeight w:val="264"/>
        </w:trPr>
        <w:tc>
          <w:tcPr>
            <w:tcW w:w="8208" w:type="dxa"/>
            <w:gridSpan w:val="8"/>
            <w:tcBorders>
              <w:top w:val="nil"/>
              <w:left w:val="nil"/>
              <w:bottom w:val="nil"/>
              <w:right w:val="nil"/>
            </w:tcBorders>
            <w:shd w:val="clear" w:color="auto" w:fill="auto"/>
            <w:noWrap/>
            <w:vAlign w:val="bottom"/>
            <w:hideMark/>
          </w:tcPr>
          <w:p w14:paraId="063BE5E8" w14:textId="77777777" w:rsidR="00560476" w:rsidRPr="00104939" w:rsidRDefault="00560476" w:rsidP="0045029C">
            <w:pPr>
              <w:rPr>
                <w:rFonts w:cs="Arial"/>
                <w:i/>
                <w:iCs/>
                <w:color w:val="000000"/>
              </w:rPr>
            </w:pPr>
            <w:r w:rsidRPr="00104939">
              <w:rPr>
                <w:rFonts w:cs="Arial"/>
                <w:i/>
                <w:iCs/>
                <w:color w:val="000000"/>
              </w:rPr>
              <w:t xml:space="preserve">- </w:t>
            </w:r>
            <w:proofErr w:type="spellStart"/>
            <w:r w:rsidRPr="00104939">
              <w:rPr>
                <w:rFonts w:cs="Arial"/>
                <w:i/>
                <w:iCs/>
                <w:color w:val="000000"/>
              </w:rPr>
              <w:t>záruka</w:t>
            </w:r>
            <w:proofErr w:type="spellEnd"/>
            <w:r w:rsidRPr="00104939">
              <w:rPr>
                <w:rFonts w:cs="Arial"/>
                <w:i/>
                <w:iCs/>
                <w:color w:val="000000"/>
              </w:rPr>
              <w:t xml:space="preserve"> </w:t>
            </w:r>
            <w:proofErr w:type="spellStart"/>
            <w:r w:rsidRPr="00104939">
              <w:rPr>
                <w:rFonts w:cs="Arial"/>
                <w:i/>
                <w:iCs/>
                <w:color w:val="000000"/>
              </w:rPr>
              <w:t>neplatí</w:t>
            </w:r>
            <w:proofErr w:type="spellEnd"/>
            <w:r w:rsidRPr="00104939">
              <w:rPr>
                <w:rFonts w:cs="Arial"/>
                <w:i/>
                <w:iCs/>
                <w:color w:val="000000"/>
              </w:rPr>
              <w:t xml:space="preserve"> pro Key Account</w:t>
            </w:r>
          </w:p>
        </w:tc>
        <w:tc>
          <w:tcPr>
            <w:tcW w:w="2190" w:type="dxa"/>
            <w:gridSpan w:val="2"/>
            <w:tcBorders>
              <w:top w:val="nil"/>
              <w:left w:val="nil"/>
              <w:bottom w:val="nil"/>
              <w:right w:val="nil"/>
            </w:tcBorders>
            <w:shd w:val="clear" w:color="auto" w:fill="auto"/>
            <w:noWrap/>
            <w:vAlign w:val="bottom"/>
            <w:hideMark/>
          </w:tcPr>
          <w:p w14:paraId="42EF9AE5" w14:textId="77777777" w:rsidR="00560476" w:rsidRPr="00104939" w:rsidRDefault="00560476" w:rsidP="0045029C">
            <w:pPr>
              <w:rPr>
                <w:rFonts w:cs="Arial"/>
                <w:i/>
                <w:iCs/>
                <w:color w:val="000000"/>
              </w:rPr>
            </w:pPr>
          </w:p>
        </w:tc>
      </w:tr>
      <w:tr w:rsidR="00560476" w:rsidRPr="00104939" w14:paraId="11E77FD2" w14:textId="77777777" w:rsidTr="004823B7">
        <w:trPr>
          <w:trHeight w:val="264"/>
        </w:trPr>
        <w:tc>
          <w:tcPr>
            <w:tcW w:w="8208" w:type="dxa"/>
            <w:gridSpan w:val="8"/>
            <w:tcBorders>
              <w:top w:val="nil"/>
              <w:left w:val="nil"/>
              <w:bottom w:val="nil"/>
              <w:right w:val="nil"/>
            </w:tcBorders>
            <w:shd w:val="clear" w:color="auto" w:fill="auto"/>
            <w:noWrap/>
            <w:vAlign w:val="bottom"/>
            <w:hideMark/>
          </w:tcPr>
          <w:p w14:paraId="5572C16C" w14:textId="77777777" w:rsidR="00560476" w:rsidRPr="00104939" w:rsidRDefault="00560476" w:rsidP="0045029C">
            <w:pPr>
              <w:rPr>
                <w:rFonts w:cs="Arial"/>
                <w:i/>
                <w:iCs/>
                <w:color w:val="000000"/>
              </w:rPr>
            </w:pPr>
            <w:r w:rsidRPr="00104939">
              <w:rPr>
                <w:rFonts w:cs="Arial"/>
                <w:i/>
                <w:iCs/>
                <w:color w:val="000000"/>
              </w:rPr>
              <w:t xml:space="preserve">- </w:t>
            </w:r>
            <w:proofErr w:type="spellStart"/>
            <w:r w:rsidRPr="00104939">
              <w:rPr>
                <w:rFonts w:cs="Arial"/>
                <w:i/>
                <w:iCs/>
                <w:color w:val="000000"/>
              </w:rPr>
              <w:t>záruka</w:t>
            </w:r>
            <w:proofErr w:type="spellEnd"/>
            <w:r w:rsidRPr="00104939">
              <w:rPr>
                <w:rFonts w:cs="Arial"/>
                <w:i/>
                <w:iCs/>
                <w:color w:val="000000"/>
              </w:rPr>
              <w:t xml:space="preserve"> </w:t>
            </w:r>
            <w:proofErr w:type="spellStart"/>
            <w:r w:rsidRPr="00104939">
              <w:rPr>
                <w:rFonts w:cs="Arial"/>
                <w:i/>
                <w:iCs/>
                <w:color w:val="000000"/>
              </w:rPr>
              <w:t>platí</w:t>
            </w:r>
            <w:proofErr w:type="spellEnd"/>
            <w:r w:rsidRPr="00104939">
              <w:rPr>
                <w:rFonts w:cs="Arial"/>
                <w:i/>
                <w:iCs/>
                <w:color w:val="000000"/>
              </w:rPr>
              <w:t xml:space="preserve"> </w:t>
            </w:r>
            <w:proofErr w:type="spellStart"/>
            <w:r w:rsidRPr="00104939">
              <w:rPr>
                <w:rFonts w:cs="Arial"/>
                <w:i/>
                <w:iCs/>
                <w:color w:val="000000"/>
              </w:rPr>
              <w:t>pouze</w:t>
            </w:r>
            <w:proofErr w:type="spellEnd"/>
            <w:r w:rsidRPr="00104939">
              <w:rPr>
                <w:rFonts w:cs="Arial"/>
                <w:i/>
                <w:iCs/>
                <w:color w:val="000000"/>
              </w:rPr>
              <w:t xml:space="preserve"> pro </w:t>
            </w:r>
            <w:proofErr w:type="spellStart"/>
            <w:r w:rsidRPr="00104939">
              <w:rPr>
                <w:rFonts w:cs="Arial"/>
                <w:i/>
                <w:iCs/>
                <w:color w:val="000000"/>
              </w:rPr>
              <w:t>baterii</w:t>
            </w:r>
            <w:proofErr w:type="spellEnd"/>
          </w:p>
        </w:tc>
        <w:tc>
          <w:tcPr>
            <w:tcW w:w="2190" w:type="dxa"/>
            <w:gridSpan w:val="2"/>
            <w:tcBorders>
              <w:top w:val="nil"/>
              <w:left w:val="nil"/>
              <w:bottom w:val="nil"/>
              <w:right w:val="nil"/>
            </w:tcBorders>
            <w:shd w:val="clear" w:color="auto" w:fill="auto"/>
            <w:noWrap/>
            <w:vAlign w:val="bottom"/>
            <w:hideMark/>
          </w:tcPr>
          <w:p w14:paraId="2E7321E1" w14:textId="77777777" w:rsidR="00560476" w:rsidRPr="00104939" w:rsidRDefault="00560476" w:rsidP="0045029C">
            <w:pPr>
              <w:rPr>
                <w:rFonts w:cs="Arial"/>
                <w:i/>
                <w:iCs/>
                <w:color w:val="000000"/>
              </w:rPr>
            </w:pPr>
          </w:p>
        </w:tc>
      </w:tr>
      <w:tr w:rsidR="00560476" w:rsidRPr="00104939" w14:paraId="0158EC8D" w14:textId="77777777" w:rsidTr="004823B7">
        <w:trPr>
          <w:trHeight w:val="264"/>
        </w:trPr>
        <w:tc>
          <w:tcPr>
            <w:tcW w:w="8208" w:type="dxa"/>
            <w:gridSpan w:val="8"/>
            <w:tcBorders>
              <w:top w:val="nil"/>
              <w:left w:val="nil"/>
              <w:bottom w:val="nil"/>
              <w:right w:val="nil"/>
            </w:tcBorders>
            <w:shd w:val="clear" w:color="auto" w:fill="auto"/>
            <w:noWrap/>
            <w:vAlign w:val="bottom"/>
            <w:hideMark/>
          </w:tcPr>
          <w:p w14:paraId="791F4EE9" w14:textId="77777777" w:rsidR="00560476" w:rsidRPr="00104939" w:rsidRDefault="00560476" w:rsidP="0045029C">
            <w:pPr>
              <w:rPr>
                <w:rFonts w:cs="Arial"/>
                <w:i/>
                <w:iCs/>
                <w:color w:val="000000"/>
              </w:rPr>
            </w:pPr>
            <w:r w:rsidRPr="00104939">
              <w:rPr>
                <w:rFonts w:cs="Arial"/>
                <w:i/>
                <w:iCs/>
                <w:color w:val="000000"/>
              </w:rPr>
              <w:t xml:space="preserve">- </w:t>
            </w:r>
            <w:proofErr w:type="spellStart"/>
            <w:r w:rsidRPr="00104939">
              <w:rPr>
                <w:rFonts w:cs="Arial"/>
                <w:i/>
                <w:iCs/>
                <w:color w:val="000000"/>
              </w:rPr>
              <w:t>záruka</w:t>
            </w:r>
            <w:proofErr w:type="spellEnd"/>
            <w:r w:rsidRPr="00104939">
              <w:rPr>
                <w:rFonts w:cs="Arial"/>
                <w:i/>
                <w:iCs/>
                <w:color w:val="000000"/>
              </w:rPr>
              <w:t xml:space="preserve"> </w:t>
            </w:r>
            <w:proofErr w:type="spellStart"/>
            <w:r w:rsidRPr="00104939">
              <w:rPr>
                <w:rFonts w:cs="Arial"/>
                <w:i/>
                <w:iCs/>
                <w:color w:val="000000"/>
              </w:rPr>
              <w:t>neplatí</w:t>
            </w:r>
            <w:proofErr w:type="spellEnd"/>
            <w:r w:rsidRPr="00104939">
              <w:rPr>
                <w:rFonts w:cs="Arial"/>
                <w:i/>
                <w:iCs/>
                <w:color w:val="000000"/>
              </w:rPr>
              <w:t xml:space="preserve"> pro </w:t>
            </w:r>
            <w:proofErr w:type="spellStart"/>
            <w:r w:rsidRPr="00104939">
              <w:rPr>
                <w:rFonts w:cs="Arial"/>
                <w:i/>
                <w:iCs/>
                <w:color w:val="000000"/>
              </w:rPr>
              <w:t>nabíječ</w:t>
            </w:r>
            <w:proofErr w:type="spellEnd"/>
            <w:r w:rsidRPr="00104939">
              <w:rPr>
                <w:rFonts w:cs="Arial"/>
                <w:i/>
                <w:iCs/>
                <w:color w:val="000000"/>
              </w:rPr>
              <w:t xml:space="preserve"> a </w:t>
            </w:r>
            <w:proofErr w:type="spellStart"/>
            <w:r w:rsidRPr="00104939">
              <w:rPr>
                <w:rFonts w:cs="Arial"/>
                <w:i/>
                <w:iCs/>
                <w:color w:val="000000"/>
              </w:rPr>
              <w:t>vozík</w:t>
            </w:r>
            <w:proofErr w:type="spellEnd"/>
            <w:r w:rsidRPr="00104939">
              <w:rPr>
                <w:rFonts w:cs="Arial"/>
                <w:i/>
                <w:iCs/>
                <w:color w:val="000000"/>
              </w:rPr>
              <w:t xml:space="preserve">. </w:t>
            </w:r>
            <w:proofErr w:type="spellStart"/>
            <w:r w:rsidRPr="00104939">
              <w:rPr>
                <w:rFonts w:cs="Arial"/>
                <w:i/>
                <w:iCs/>
                <w:color w:val="000000"/>
              </w:rPr>
              <w:t>Nabíječky</w:t>
            </w:r>
            <w:proofErr w:type="spellEnd"/>
            <w:r w:rsidRPr="00104939">
              <w:rPr>
                <w:rFonts w:cs="Arial"/>
                <w:i/>
                <w:iCs/>
                <w:color w:val="000000"/>
              </w:rPr>
              <w:t xml:space="preserve"> FRONIUS - </w:t>
            </w:r>
            <w:proofErr w:type="spellStart"/>
            <w:r w:rsidRPr="00104939">
              <w:rPr>
                <w:rFonts w:cs="Arial"/>
                <w:i/>
                <w:iCs/>
                <w:color w:val="000000"/>
              </w:rPr>
              <w:t>záruka</w:t>
            </w:r>
            <w:proofErr w:type="spellEnd"/>
            <w:r w:rsidRPr="00104939">
              <w:rPr>
                <w:rFonts w:cs="Arial"/>
                <w:i/>
                <w:iCs/>
                <w:color w:val="000000"/>
              </w:rPr>
              <w:t xml:space="preserve"> 3 </w:t>
            </w:r>
            <w:proofErr w:type="spellStart"/>
            <w:r w:rsidRPr="00104939">
              <w:rPr>
                <w:rFonts w:cs="Arial"/>
                <w:i/>
                <w:iCs/>
                <w:color w:val="000000"/>
              </w:rPr>
              <w:t>roky</w:t>
            </w:r>
            <w:proofErr w:type="spellEnd"/>
          </w:p>
        </w:tc>
        <w:tc>
          <w:tcPr>
            <w:tcW w:w="2190" w:type="dxa"/>
            <w:gridSpan w:val="2"/>
            <w:tcBorders>
              <w:top w:val="nil"/>
              <w:left w:val="nil"/>
              <w:bottom w:val="nil"/>
              <w:right w:val="nil"/>
            </w:tcBorders>
            <w:shd w:val="clear" w:color="auto" w:fill="auto"/>
            <w:noWrap/>
            <w:vAlign w:val="bottom"/>
            <w:hideMark/>
          </w:tcPr>
          <w:p w14:paraId="4123469E" w14:textId="77777777" w:rsidR="00560476" w:rsidRPr="00104939" w:rsidRDefault="00560476" w:rsidP="0045029C">
            <w:pPr>
              <w:rPr>
                <w:rFonts w:cs="Arial"/>
                <w:i/>
                <w:iCs/>
                <w:color w:val="000000"/>
              </w:rPr>
            </w:pPr>
          </w:p>
        </w:tc>
      </w:tr>
      <w:tr w:rsidR="00560476" w:rsidRPr="00104939" w14:paraId="5B3461BC" w14:textId="77777777" w:rsidTr="004823B7">
        <w:trPr>
          <w:trHeight w:val="264"/>
        </w:trPr>
        <w:tc>
          <w:tcPr>
            <w:tcW w:w="8208" w:type="dxa"/>
            <w:gridSpan w:val="8"/>
            <w:tcBorders>
              <w:top w:val="nil"/>
              <w:left w:val="nil"/>
              <w:bottom w:val="nil"/>
              <w:right w:val="nil"/>
            </w:tcBorders>
            <w:shd w:val="clear" w:color="auto" w:fill="auto"/>
            <w:noWrap/>
            <w:vAlign w:val="bottom"/>
            <w:hideMark/>
          </w:tcPr>
          <w:p w14:paraId="4B7785D5" w14:textId="77777777" w:rsidR="00560476" w:rsidRPr="00104939" w:rsidRDefault="00560476" w:rsidP="0045029C">
            <w:pPr>
              <w:rPr>
                <w:rFonts w:cs="Arial"/>
                <w:i/>
                <w:iCs/>
                <w:color w:val="000000"/>
              </w:rPr>
            </w:pPr>
            <w:r w:rsidRPr="00104939">
              <w:rPr>
                <w:rFonts w:cs="Arial"/>
                <w:i/>
                <w:iCs/>
                <w:color w:val="000000"/>
              </w:rPr>
              <w:t xml:space="preserve">- </w:t>
            </w:r>
            <w:proofErr w:type="spellStart"/>
            <w:r w:rsidRPr="00104939">
              <w:rPr>
                <w:rFonts w:cs="Arial"/>
                <w:i/>
                <w:iCs/>
                <w:color w:val="000000"/>
              </w:rPr>
              <w:t>záruka</w:t>
            </w:r>
            <w:proofErr w:type="spellEnd"/>
            <w:r w:rsidRPr="00104939">
              <w:rPr>
                <w:rFonts w:cs="Arial"/>
                <w:i/>
                <w:iCs/>
                <w:color w:val="000000"/>
              </w:rPr>
              <w:t xml:space="preserve"> </w:t>
            </w:r>
            <w:proofErr w:type="spellStart"/>
            <w:r w:rsidRPr="00104939">
              <w:rPr>
                <w:rFonts w:cs="Arial"/>
                <w:i/>
                <w:iCs/>
                <w:color w:val="000000"/>
              </w:rPr>
              <w:t>neplatí</w:t>
            </w:r>
            <w:proofErr w:type="spellEnd"/>
            <w:r w:rsidRPr="00104939">
              <w:rPr>
                <w:rFonts w:cs="Arial"/>
                <w:i/>
                <w:iCs/>
                <w:color w:val="000000"/>
              </w:rPr>
              <w:t xml:space="preserve"> pro </w:t>
            </w:r>
            <w:proofErr w:type="spellStart"/>
            <w:r w:rsidRPr="00104939">
              <w:rPr>
                <w:rFonts w:cs="Arial"/>
                <w:i/>
                <w:iCs/>
                <w:color w:val="000000"/>
              </w:rPr>
              <w:t>bateriové</w:t>
            </w:r>
            <w:proofErr w:type="spellEnd"/>
            <w:r w:rsidRPr="00104939">
              <w:rPr>
                <w:rFonts w:cs="Arial"/>
                <w:i/>
                <w:iCs/>
                <w:color w:val="000000"/>
              </w:rPr>
              <w:t xml:space="preserve"> </w:t>
            </w:r>
            <w:proofErr w:type="spellStart"/>
            <w:r w:rsidRPr="00104939">
              <w:rPr>
                <w:rFonts w:cs="Arial"/>
                <w:i/>
                <w:iCs/>
                <w:color w:val="000000"/>
              </w:rPr>
              <w:t>kabely</w:t>
            </w:r>
            <w:proofErr w:type="spellEnd"/>
            <w:r w:rsidRPr="00104939">
              <w:rPr>
                <w:rFonts w:cs="Arial"/>
                <w:i/>
                <w:iCs/>
                <w:color w:val="000000"/>
              </w:rPr>
              <w:t xml:space="preserve"> + </w:t>
            </w:r>
            <w:proofErr w:type="spellStart"/>
            <w:r w:rsidRPr="00104939">
              <w:rPr>
                <w:rFonts w:cs="Arial"/>
                <w:i/>
                <w:iCs/>
                <w:color w:val="000000"/>
              </w:rPr>
              <w:t>kontrolní</w:t>
            </w:r>
            <w:proofErr w:type="spellEnd"/>
            <w:r w:rsidRPr="00104939">
              <w:rPr>
                <w:rFonts w:cs="Arial"/>
                <w:i/>
                <w:iCs/>
                <w:color w:val="000000"/>
              </w:rPr>
              <w:t xml:space="preserve"> a </w:t>
            </w:r>
            <w:proofErr w:type="spellStart"/>
            <w:r w:rsidRPr="00104939">
              <w:rPr>
                <w:rFonts w:cs="Arial"/>
                <w:i/>
                <w:iCs/>
                <w:color w:val="000000"/>
              </w:rPr>
              <w:t>diagnostické</w:t>
            </w:r>
            <w:proofErr w:type="spellEnd"/>
            <w:r w:rsidRPr="00104939">
              <w:rPr>
                <w:rFonts w:cs="Arial"/>
                <w:i/>
                <w:iCs/>
                <w:color w:val="000000"/>
              </w:rPr>
              <w:t xml:space="preserve"> </w:t>
            </w:r>
            <w:proofErr w:type="spellStart"/>
            <w:r w:rsidRPr="00104939">
              <w:rPr>
                <w:rFonts w:cs="Arial"/>
                <w:i/>
                <w:iCs/>
                <w:color w:val="000000"/>
              </w:rPr>
              <w:t>kabely</w:t>
            </w:r>
            <w:proofErr w:type="spellEnd"/>
          </w:p>
        </w:tc>
        <w:tc>
          <w:tcPr>
            <w:tcW w:w="2190" w:type="dxa"/>
            <w:gridSpan w:val="2"/>
            <w:tcBorders>
              <w:top w:val="nil"/>
              <w:left w:val="nil"/>
              <w:bottom w:val="nil"/>
              <w:right w:val="nil"/>
            </w:tcBorders>
            <w:shd w:val="clear" w:color="auto" w:fill="auto"/>
            <w:noWrap/>
            <w:vAlign w:val="bottom"/>
            <w:hideMark/>
          </w:tcPr>
          <w:p w14:paraId="43562774" w14:textId="77777777" w:rsidR="00560476" w:rsidRPr="00104939" w:rsidRDefault="00560476" w:rsidP="0045029C">
            <w:pPr>
              <w:rPr>
                <w:rFonts w:cs="Arial"/>
                <w:i/>
                <w:iCs/>
                <w:color w:val="000000"/>
              </w:rPr>
            </w:pPr>
          </w:p>
        </w:tc>
      </w:tr>
      <w:tr w:rsidR="00560476" w:rsidRPr="00104939" w14:paraId="4CAA684F" w14:textId="77777777" w:rsidTr="004823B7">
        <w:trPr>
          <w:trHeight w:val="264"/>
        </w:trPr>
        <w:tc>
          <w:tcPr>
            <w:tcW w:w="8208" w:type="dxa"/>
            <w:gridSpan w:val="8"/>
            <w:tcBorders>
              <w:top w:val="nil"/>
              <w:left w:val="nil"/>
              <w:bottom w:val="nil"/>
              <w:right w:val="nil"/>
            </w:tcBorders>
            <w:shd w:val="clear" w:color="auto" w:fill="auto"/>
            <w:noWrap/>
            <w:vAlign w:val="bottom"/>
            <w:hideMark/>
          </w:tcPr>
          <w:p w14:paraId="039645EA" w14:textId="77777777" w:rsidR="00560476" w:rsidRPr="00104939" w:rsidRDefault="00560476" w:rsidP="0045029C">
            <w:pPr>
              <w:rPr>
                <w:rFonts w:cs="Arial"/>
                <w:i/>
                <w:iCs/>
                <w:color w:val="000000"/>
              </w:rPr>
            </w:pPr>
            <w:r w:rsidRPr="00104939">
              <w:rPr>
                <w:rFonts w:cs="Arial"/>
                <w:i/>
                <w:iCs/>
                <w:color w:val="000000"/>
              </w:rPr>
              <w:t xml:space="preserve">- </w:t>
            </w:r>
            <w:proofErr w:type="spellStart"/>
            <w:r w:rsidRPr="00104939">
              <w:rPr>
                <w:rFonts w:cs="Arial"/>
                <w:i/>
                <w:iCs/>
                <w:color w:val="000000"/>
              </w:rPr>
              <w:t>záruka</w:t>
            </w:r>
            <w:proofErr w:type="spellEnd"/>
            <w:r w:rsidRPr="00104939">
              <w:rPr>
                <w:rFonts w:cs="Arial"/>
                <w:i/>
                <w:iCs/>
                <w:color w:val="000000"/>
              </w:rPr>
              <w:t xml:space="preserve"> </w:t>
            </w:r>
            <w:proofErr w:type="spellStart"/>
            <w:r w:rsidRPr="00104939">
              <w:rPr>
                <w:rFonts w:cs="Arial"/>
                <w:i/>
                <w:iCs/>
                <w:color w:val="000000"/>
              </w:rPr>
              <w:t>platí</w:t>
            </w:r>
            <w:proofErr w:type="spellEnd"/>
            <w:r w:rsidRPr="00104939">
              <w:rPr>
                <w:rFonts w:cs="Arial"/>
                <w:i/>
                <w:iCs/>
                <w:color w:val="000000"/>
              </w:rPr>
              <w:t xml:space="preserve"> </w:t>
            </w:r>
            <w:proofErr w:type="spellStart"/>
            <w:r w:rsidRPr="00104939">
              <w:rPr>
                <w:rFonts w:cs="Arial"/>
                <w:i/>
                <w:iCs/>
                <w:color w:val="000000"/>
              </w:rPr>
              <w:t>jen</w:t>
            </w:r>
            <w:proofErr w:type="spellEnd"/>
            <w:r w:rsidRPr="00104939">
              <w:rPr>
                <w:rFonts w:cs="Arial"/>
                <w:i/>
                <w:iCs/>
                <w:color w:val="000000"/>
              </w:rPr>
              <w:t xml:space="preserve"> pro </w:t>
            </w:r>
            <w:proofErr w:type="spellStart"/>
            <w:r w:rsidRPr="00104939">
              <w:rPr>
                <w:rFonts w:cs="Arial"/>
                <w:i/>
                <w:iCs/>
                <w:color w:val="000000"/>
              </w:rPr>
              <w:t>baterie</w:t>
            </w:r>
            <w:proofErr w:type="spellEnd"/>
            <w:r w:rsidRPr="00104939">
              <w:rPr>
                <w:rFonts w:cs="Arial"/>
                <w:i/>
                <w:iCs/>
                <w:color w:val="000000"/>
              </w:rPr>
              <w:t xml:space="preserve"> STILL </w:t>
            </w:r>
            <w:proofErr w:type="spellStart"/>
            <w:r w:rsidRPr="00104939">
              <w:rPr>
                <w:rFonts w:cs="Arial"/>
                <w:i/>
                <w:iCs/>
                <w:color w:val="000000"/>
              </w:rPr>
              <w:t>nikoliv</w:t>
            </w:r>
            <w:proofErr w:type="spellEnd"/>
            <w:r w:rsidRPr="00104939">
              <w:rPr>
                <w:rFonts w:cs="Arial"/>
                <w:i/>
                <w:iCs/>
                <w:color w:val="000000"/>
              </w:rPr>
              <w:t xml:space="preserve"> </w:t>
            </w:r>
            <w:proofErr w:type="spellStart"/>
            <w:r w:rsidRPr="00104939">
              <w:rPr>
                <w:rFonts w:cs="Arial"/>
                <w:i/>
                <w:iCs/>
                <w:color w:val="000000"/>
              </w:rPr>
              <w:t>baterie</w:t>
            </w:r>
            <w:proofErr w:type="spellEnd"/>
            <w:r w:rsidRPr="00104939">
              <w:rPr>
                <w:rFonts w:cs="Arial"/>
                <w:i/>
                <w:iCs/>
                <w:color w:val="000000"/>
              </w:rPr>
              <w:t xml:space="preserve"> </w:t>
            </w:r>
            <w:proofErr w:type="spellStart"/>
            <w:r w:rsidRPr="00104939">
              <w:rPr>
                <w:rFonts w:cs="Arial"/>
                <w:i/>
                <w:iCs/>
                <w:color w:val="000000"/>
              </w:rPr>
              <w:t>třetích</w:t>
            </w:r>
            <w:proofErr w:type="spellEnd"/>
            <w:r w:rsidRPr="00104939">
              <w:rPr>
                <w:rFonts w:cs="Arial"/>
                <w:i/>
                <w:iCs/>
                <w:color w:val="000000"/>
              </w:rPr>
              <w:t xml:space="preserve"> </w:t>
            </w:r>
            <w:proofErr w:type="spellStart"/>
            <w:r w:rsidRPr="00104939">
              <w:rPr>
                <w:rFonts w:cs="Arial"/>
                <w:i/>
                <w:iCs/>
                <w:color w:val="000000"/>
              </w:rPr>
              <w:t>stran</w:t>
            </w:r>
            <w:proofErr w:type="spellEnd"/>
          </w:p>
        </w:tc>
        <w:tc>
          <w:tcPr>
            <w:tcW w:w="2190" w:type="dxa"/>
            <w:gridSpan w:val="2"/>
            <w:tcBorders>
              <w:top w:val="nil"/>
              <w:left w:val="nil"/>
              <w:bottom w:val="nil"/>
              <w:right w:val="nil"/>
            </w:tcBorders>
            <w:shd w:val="clear" w:color="auto" w:fill="auto"/>
            <w:noWrap/>
            <w:vAlign w:val="bottom"/>
            <w:hideMark/>
          </w:tcPr>
          <w:p w14:paraId="3704C29A" w14:textId="77777777" w:rsidR="00560476" w:rsidRPr="00104939" w:rsidRDefault="00560476" w:rsidP="0045029C">
            <w:pPr>
              <w:rPr>
                <w:rFonts w:cs="Arial"/>
                <w:i/>
                <w:iCs/>
                <w:color w:val="000000"/>
              </w:rPr>
            </w:pPr>
          </w:p>
        </w:tc>
      </w:tr>
      <w:tr w:rsidR="00560476" w:rsidRPr="00104939" w14:paraId="04577BF3" w14:textId="77777777" w:rsidTr="004823B7">
        <w:trPr>
          <w:trHeight w:val="264"/>
        </w:trPr>
        <w:tc>
          <w:tcPr>
            <w:tcW w:w="8208" w:type="dxa"/>
            <w:gridSpan w:val="8"/>
            <w:tcBorders>
              <w:top w:val="nil"/>
              <w:left w:val="nil"/>
              <w:bottom w:val="nil"/>
              <w:right w:val="nil"/>
            </w:tcBorders>
            <w:shd w:val="clear" w:color="auto" w:fill="auto"/>
            <w:noWrap/>
            <w:vAlign w:val="bottom"/>
            <w:hideMark/>
          </w:tcPr>
          <w:p w14:paraId="40707AC9" w14:textId="77777777" w:rsidR="00560476" w:rsidRPr="00104939" w:rsidRDefault="00560476" w:rsidP="0045029C">
            <w:pPr>
              <w:rPr>
                <w:rFonts w:cs="Arial"/>
                <w:i/>
                <w:iCs/>
                <w:color w:val="000000"/>
              </w:rPr>
            </w:pPr>
            <w:r w:rsidRPr="00104939">
              <w:rPr>
                <w:rFonts w:cs="Arial"/>
                <w:i/>
                <w:iCs/>
                <w:color w:val="000000"/>
              </w:rPr>
              <w:t xml:space="preserve">- </w:t>
            </w:r>
            <w:proofErr w:type="spellStart"/>
            <w:r w:rsidRPr="00104939">
              <w:rPr>
                <w:rFonts w:cs="Arial"/>
                <w:i/>
                <w:iCs/>
                <w:color w:val="000000"/>
              </w:rPr>
              <w:t>záruka</w:t>
            </w:r>
            <w:proofErr w:type="spellEnd"/>
            <w:r w:rsidRPr="00104939">
              <w:rPr>
                <w:rFonts w:cs="Arial"/>
                <w:i/>
                <w:iCs/>
                <w:color w:val="000000"/>
              </w:rPr>
              <w:t xml:space="preserve"> </w:t>
            </w:r>
            <w:proofErr w:type="spellStart"/>
            <w:r w:rsidRPr="00104939">
              <w:rPr>
                <w:rFonts w:cs="Arial"/>
                <w:i/>
                <w:iCs/>
                <w:color w:val="000000"/>
              </w:rPr>
              <w:t>začíná</w:t>
            </w:r>
            <w:proofErr w:type="spellEnd"/>
            <w:r w:rsidRPr="00104939">
              <w:rPr>
                <w:rFonts w:cs="Arial"/>
                <w:i/>
                <w:iCs/>
                <w:color w:val="000000"/>
              </w:rPr>
              <w:t xml:space="preserve"> </w:t>
            </w:r>
            <w:proofErr w:type="spellStart"/>
            <w:r w:rsidRPr="00104939">
              <w:rPr>
                <w:rFonts w:cs="Arial"/>
                <w:i/>
                <w:iCs/>
                <w:color w:val="000000"/>
              </w:rPr>
              <w:t>okamžikem</w:t>
            </w:r>
            <w:proofErr w:type="spellEnd"/>
            <w:r w:rsidRPr="00104939">
              <w:rPr>
                <w:rFonts w:cs="Arial"/>
                <w:i/>
                <w:iCs/>
                <w:color w:val="000000"/>
              </w:rPr>
              <w:t xml:space="preserve"> </w:t>
            </w:r>
            <w:proofErr w:type="spellStart"/>
            <w:r w:rsidRPr="00104939">
              <w:rPr>
                <w:rFonts w:cs="Arial"/>
                <w:i/>
                <w:iCs/>
                <w:color w:val="000000"/>
              </w:rPr>
              <w:t>předání</w:t>
            </w:r>
            <w:proofErr w:type="spellEnd"/>
            <w:r w:rsidRPr="00104939">
              <w:rPr>
                <w:rFonts w:cs="Arial"/>
                <w:i/>
                <w:iCs/>
                <w:color w:val="000000"/>
              </w:rPr>
              <w:t xml:space="preserve"> </w:t>
            </w:r>
            <w:proofErr w:type="spellStart"/>
            <w:r w:rsidRPr="00104939">
              <w:rPr>
                <w:rFonts w:cs="Arial"/>
                <w:i/>
                <w:iCs/>
                <w:color w:val="000000"/>
              </w:rPr>
              <w:t>baterie</w:t>
            </w:r>
            <w:proofErr w:type="spellEnd"/>
            <w:r w:rsidRPr="00104939">
              <w:rPr>
                <w:rFonts w:cs="Arial"/>
                <w:i/>
                <w:iCs/>
                <w:color w:val="000000"/>
              </w:rPr>
              <w:t xml:space="preserve"> </w:t>
            </w:r>
            <w:proofErr w:type="spellStart"/>
            <w:r w:rsidRPr="00104939">
              <w:rPr>
                <w:rFonts w:cs="Arial"/>
                <w:i/>
                <w:iCs/>
                <w:color w:val="000000"/>
              </w:rPr>
              <w:t>zákazníkovi</w:t>
            </w:r>
            <w:proofErr w:type="spellEnd"/>
          </w:p>
        </w:tc>
        <w:tc>
          <w:tcPr>
            <w:tcW w:w="2190" w:type="dxa"/>
            <w:gridSpan w:val="2"/>
            <w:tcBorders>
              <w:top w:val="nil"/>
              <w:left w:val="nil"/>
              <w:bottom w:val="nil"/>
              <w:right w:val="nil"/>
            </w:tcBorders>
            <w:shd w:val="clear" w:color="auto" w:fill="auto"/>
            <w:noWrap/>
            <w:vAlign w:val="bottom"/>
            <w:hideMark/>
          </w:tcPr>
          <w:p w14:paraId="362353ED" w14:textId="77777777" w:rsidR="00560476" w:rsidRPr="00104939" w:rsidRDefault="00560476" w:rsidP="0045029C">
            <w:pPr>
              <w:rPr>
                <w:rFonts w:cs="Arial"/>
                <w:i/>
                <w:iCs/>
                <w:color w:val="000000"/>
              </w:rPr>
            </w:pPr>
          </w:p>
        </w:tc>
      </w:tr>
    </w:tbl>
    <w:p w14:paraId="610010A2" w14:textId="2C0ABDBC" w:rsidR="00E620C8" w:rsidRDefault="00E620C8" w:rsidP="00631E48">
      <w:pPr>
        <w:ind w:right="120"/>
        <w:rPr>
          <w:rFonts w:ascii="Dax Offc Pro Light" w:eastAsia="Times New Roman" w:hAnsi="Dax Offc Pro Light"/>
          <w:color w:val="545454"/>
          <w:szCs w:val="20"/>
          <w:lang w:val="cs-CZ" w:eastAsia="cs-CZ"/>
        </w:rPr>
      </w:pPr>
    </w:p>
    <w:p w14:paraId="331D9A9B" w14:textId="11C106D3" w:rsidR="00B851F3" w:rsidRDefault="00B851F3" w:rsidP="00631E48">
      <w:pPr>
        <w:ind w:right="120"/>
        <w:rPr>
          <w:rFonts w:ascii="Dax Offc Pro Light" w:eastAsia="Times New Roman" w:hAnsi="Dax Offc Pro Light"/>
          <w:color w:val="545454"/>
          <w:szCs w:val="20"/>
          <w:lang w:val="cs-CZ" w:eastAsia="cs-CZ"/>
        </w:rPr>
      </w:pPr>
    </w:p>
    <w:p w14:paraId="352F9050" w14:textId="7CC027B9" w:rsidR="00B851F3" w:rsidRDefault="00B851F3" w:rsidP="00631E48">
      <w:pPr>
        <w:ind w:right="120"/>
        <w:rPr>
          <w:rFonts w:ascii="Dax Offc Pro Light" w:eastAsia="Times New Roman" w:hAnsi="Dax Offc Pro Light"/>
          <w:color w:val="545454"/>
          <w:szCs w:val="20"/>
          <w:lang w:val="cs-CZ" w:eastAsia="cs-CZ"/>
        </w:rPr>
      </w:pPr>
    </w:p>
    <w:p w14:paraId="72C0DC2A" w14:textId="6BCB301D" w:rsidR="00B851F3" w:rsidRDefault="00B851F3" w:rsidP="00631E48">
      <w:pPr>
        <w:ind w:right="120"/>
        <w:rPr>
          <w:rFonts w:ascii="Dax Offc Pro Light" w:eastAsia="Times New Roman" w:hAnsi="Dax Offc Pro Light"/>
          <w:color w:val="545454"/>
          <w:szCs w:val="20"/>
          <w:lang w:val="cs-CZ" w:eastAsia="cs-CZ"/>
        </w:rPr>
      </w:pPr>
    </w:p>
    <w:p w14:paraId="6D01C849" w14:textId="786D8D2E" w:rsidR="00B851F3" w:rsidRDefault="00B851F3" w:rsidP="00631E48">
      <w:pPr>
        <w:ind w:right="120"/>
        <w:rPr>
          <w:rFonts w:ascii="Dax Offc Pro Light" w:eastAsia="Times New Roman" w:hAnsi="Dax Offc Pro Light"/>
          <w:color w:val="545454"/>
          <w:szCs w:val="20"/>
          <w:lang w:val="cs-CZ" w:eastAsia="cs-CZ"/>
        </w:rPr>
      </w:pPr>
    </w:p>
    <w:p w14:paraId="1DCE16DF" w14:textId="065037EA" w:rsidR="00B851F3" w:rsidRDefault="00B851F3" w:rsidP="00631E48">
      <w:pPr>
        <w:ind w:right="120"/>
        <w:rPr>
          <w:rFonts w:ascii="Dax Offc Pro Light" w:eastAsia="Times New Roman" w:hAnsi="Dax Offc Pro Light"/>
          <w:color w:val="545454"/>
          <w:szCs w:val="20"/>
          <w:lang w:val="cs-CZ" w:eastAsia="cs-CZ"/>
        </w:rPr>
      </w:pPr>
    </w:p>
    <w:p w14:paraId="4E7DC9C0" w14:textId="4AB19800" w:rsidR="00B851F3" w:rsidRDefault="00B851F3" w:rsidP="00631E48">
      <w:pPr>
        <w:ind w:right="120"/>
        <w:rPr>
          <w:rFonts w:ascii="Dax Offc Pro Light" w:eastAsia="Times New Roman" w:hAnsi="Dax Offc Pro Light"/>
          <w:color w:val="545454"/>
          <w:szCs w:val="20"/>
          <w:lang w:val="cs-CZ" w:eastAsia="cs-CZ"/>
        </w:rPr>
      </w:pPr>
    </w:p>
    <w:p w14:paraId="1A211C42" w14:textId="0345C4CE" w:rsidR="00B851F3" w:rsidRDefault="00B851F3" w:rsidP="00631E48">
      <w:pPr>
        <w:ind w:right="120"/>
        <w:rPr>
          <w:rFonts w:ascii="Dax Offc Pro Light" w:eastAsia="Times New Roman" w:hAnsi="Dax Offc Pro Light"/>
          <w:color w:val="545454"/>
          <w:szCs w:val="20"/>
          <w:lang w:val="cs-CZ" w:eastAsia="cs-CZ"/>
        </w:rPr>
      </w:pPr>
    </w:p>
    <w:p w14:paraId="269BC87D" w14:textId="416718FD" w:rsidR="00B851F3" w:rsidRDefault="00B851F3" w:rsidP="00631E48">
      <w:pPr>
        <w:ind w:right="120"/>
        <w:rPr>
          <w:rFonts w:ascii="Dax Offc Pro Light" w:eastAsia="Times New Roman" w:hAnsi="Dax Offc Pro Light"/>
          <w:color w:val="545454"/>
          <w:szCs w:val="20"/>
          <w:lang w:val="cs-CZ" w:eastAsia="cs-CZ"/>
        </w:rPr>
      </w:pPr>
    </w:p>
    <w:p w14:paraId="2B366785" w14:textId="612E2957" w:rsidR="00B851F3" w:rsidRDefault="00B851F3" w:rsidP="00631E48">
      <w:pPr>
        <w:ind w:right="120"/>
        <w:rPr>
          <w:rFonts w:ascii="Dax Offc Pro Light" w:eastAsia="Times New Roman" w:hAnsi="Dax Offc Pro Light"/>
          <w:color w:val="545454"/>
          <w:szCs w:val="20"/>
          <w:lang w:val="cs-CZ" w:eastAsia="cs-CZ"/>
        </w:rPr>
      </w:pPr>
    </w:p>
    <w:p w14:paraId="42F4C825" w14:textId="77777777" w:rsidR="00B851F3" w:rsidRDefault="00B851F3" w:rsidP="00631E48">
      <w:pPr>
        <w:ind w:right="120"/>
        <w:rPr>
          <w:rFonts w:ascii="Dax Offc Pro Light" w:eastAsia="Times New Roman" w:hAnsi="Dax Offc Pro Light"/>
          <w:color w:val="545454"/>
          <w:szCs w:val="20"/>
          <w:lang w:val="cs-CZ" w:eastAsia="cs-CZ"/>
        </w:rPr>
      </w:pPr>
    </w:p>
    <w:p w14:paraId="4E444671" w14:textId="77777777" w:rsidR="00F76667" w:rsidRDefault="00F76667" w:rsidP="00631E48">
      <w:pPr>
        <w:rPr>
          <w:rFonts w:ascii="Dax Offc Pro Light" w:eastAsia="Times New Roman" w:hAnsi="Dax Offc Pro Light"/>
          <w:b/>
          <w:bCs/>
          <w:szCs w:val="20"/>
          <w:lang w:val="cs-CZ" w:eastAsia="cs-CZ"/>
        </w:rPr>
      </w:pPr>
    </w:p>
    <w:p w14:paraId="75921F27" w14:textId="77777777" w:rsidR="00F76667" w:rsidRDefault="00F76667" w:rsidP="00631E48">
      <w:pPr>
        <w:rPr>
          <w:rFonts w:ascii="Dax Offc Pro Light" w:eastAsia="Times New Roman" w:hAnsi="Dax Offc Pro Light"/>
          <w:b/>
          <w:bCs/>
          <w:szCs w:val="20"/>
          <w:lang w:val="cs-CZ" w:eastAsia="cs-CZ"/>
        </w:rPr>
      </w:pPr>
    </w:p>
    <w:p w14:paraId="7102E128" w14:textId="77777777" w:rsidR="006D0BD6" w:rsidRDefault="006D0BD6" w:rsidP="00631E48">
      <w:pPr>
        <w:rPr>
          <w:rFonts w:ascii="Dax Offc Pro Light" w:eastAsia="Times New Roman" w:hAnsi="Dax Offc Pro Light"/>
          <w:b/>
          <w:bCs/>
          <w:szCs w:val="20"/>
          <w:lang w:val="cs-CZ" w:eastAsia="cs-CZ"/>
        </w:rPr>
      </w:pPr>
    </w:p>
    <w:p w14:paraId="55F245C2" w14:textId="454E89A2" w:rsidR="00F03E3A" w:rsidRDefault="00F03E3A" w:rsidP="00631E48">
      <w:pPr>
        <w:rPr>
          <w:rFonts w:ascii="Dax Offc Pro Light" w:eastAsia="Times New Roman" w:hAnsi="Dax Offc Pro Light"/>
          <w:b/>
          <w:bCs/>
          <w:szCs w:val="20"/>
          <w:lang w:val="cs-CZ" w:eastAsia="cs-CZ"/>
        </w:rPr>
      </w:pPr>
      <w:r>
        <w:rPr>
          <w:rFonts w:ascii="Dax Offc Pro Light" w:eastAsia="Times New Roman" w:hAnsi="Dax Offc Pro Light"/>
          <w:b/>
          <w:bCs/>
          <w:szCs w:val="20"/>
          <w:lang w:val="cs-CZ" w:eastAsia="cs-CZ"/>
        </w:rPr>
        <w:t>VI. Odstoupení od smlouvy</w:t>
      </w:r>
    </w:p>
    <w:p w14:paraId="13942C36" w14:textId="6D0FDC81" w:rsidR="00EC1E65" w:rsidRDefault="000B3298" w:rsidP="00631E48">
      <w:pPr>
        <w:rPr>
          <w:rFonts w:ascii="Dax Offc Pro Light" w:eastAsia="Times New Roman" w:hAnsi="Dax Offc Pro Light"/>
          <w:szCs w:val="20"/>
          <w:lang w:val="cs-CZ" w:eastAsia="cs-CZ"/>
        </w:rPr>
      </w:pPr>
      <w:r>
        <w:rPr>
          <w:rFonts w:ascii="Dax Offc Pro Light" w:eastAsia="Times New Roman" w:hAnsi="Dax Offc Pro Light"/>
          <w:szCs w:val="20"/>
          <w:lang w:val="cs-CZ" w:eastAsia="cs-CZ"/>
        </w:rPr>
        <w:t xml:space="preserve">1.Kupující je oprávněn od kupní smlouvy odstoupit do 30 dnů od jejího uzavření, pokud uhradí prodávajícímu odstupné ve výši </w:t>
      </w:r>
      <w:proofErr w:type="gramStart"/>
      <w:r>
        <w:rPr>
          <w:rFonts w:ascii="Dax Offc Pro Light" w:eastAsia="Times New Roman" w:hAnsi="Dax Offc Pro Light"/>
          <w:szCs w:val="20"/>
          <w:lang w:val="cs-CZ" w:eastAsia="cs-CZ"/>
        </w:rPr>
        <w:t>20%</w:t>
      </w:r>
      <w:proofErr w:type="gramEnd"/>
      <w:r>
        <w:rPr>
          <w:rFonts w:ascii="Dax Offc Pro Light" w:eastAsia="Times New Roman" w:hAnsi="Dax Offc Pro Light"/>
          <w:szCs w:val="20"/>
          <w:lang w:val="cs-CZ" w:eastAsia="cs-CZ"/>
        </w:rPr>
        <w:t xml:space="preserve"> z kupní ceny včetně DPH.</w:t>
      </w:r>
      <w:r w:rsidR="00EC1E65">
        <w:rPr>
          <w:rFonts w:ascii="Dax Offc Pro Light" w:eastAsia="Times New Roman" w:hAnsi="Dax Offc Pro Light"/>
          <w:szCs w:val="20"/>
          <w:lang w:val="cs-CZ" w:eastAsia="cs-CZ"/>
        </w:rPr>
        <w:t xml:space="preserve"> Uhrazení odstupného ze strany kupujícího neplatí </w:t>
      </w:r>
      <w:r w:rsidR="00F76667">
        <w:rPr>
          <w:rFonts w:ascii="Dax Offc Pro Light" w:eastAsia="Times New Roman" w:hAnsi="Dax Offc Pro Light"/>
          <w:szCs w:val="20"/>
          <w:lang w:val="cs-CZ" w:eastAsia="cs-CZ"/>
        </w:rPr>
        <w:t xml:space="preserve">dle </w:t>
      </w:r>
      <w:r w:rsidR="00EC1E65">
        <w:rPr>
          <w:rFonts w:ascii="Dax Offc Pro Light" w:eastAsia="Times New Roman" w:hAnsi="Dax Offc Pro Light"/>
          <w:szCs w:val="20"/>
          <w:lang w:val="cs-CZ" w:eastAsia="cs-CZ"/>
        </w:rPr>
        <w:t>ustanovení čl. II. odstavce 2. těchto obchodních podmínek.</w:t>
      </w:r>
    </w:p>
    <w:p w14:paraId="42E988FE" w14:textId="306E16A1" w:rsidR="00EC1E65" w:rsidRPr="00454560" w:rsidRDefault="00EC1E65" w:rsidP="00631E48">
      <w:pPr>
        <w:pStyle w:val="Nadpis9"/>
        <w:rPr>
          <w:rFonts w:ascii="Dax Offc Pro Light" w:hAnsi="Dax Offc Pro Light"/>
          <w:i w:val="0"/>
          <w:iCs w:val="0"/>
          <w:sz w:val="20"/>
          <w:szCs w:val="20"/>
          <w:lang w:val="cs-CZ"/>
        </w:rPr>
      </w:pPr>
      <w:r>
        <w:rPr>
          <w:rFonts w:ascii="Dax Offc Pro Light" w:hAnsi="Dax Offc Pro Light"/>
          <w:i w:val="0"/>
          <w:iCs w:val="0"/>
          <w:sz w:val="20"/>
          <w:szCs w:val="20"/>
          <w:lang w:val="cs-CZ"/>
        </w:rPr>
        <w:t xml:space="preserve">2. </w:t>
      </w:r>
      <w:r w:rsidRPr="00454560">
        <w:rPr>
          <w:rFonts w:ascii="Dax Offc Pro Light" w:hAnsi="Dax Offc Pro Light"/>
          <w:i w:val="0"/>
          <w:iCs w:val="0"/>
          <w:sz w:val="20"/>
          <w:szCs w:val="20"/>
          <w:lang w:val="cs-CZ"/>
        </w:rPr>
        <w:t xml:space="preserve">Pokud kupující poruší </w:t>
      </w:r>
      <w:r w:rsidR="00F76667">
        <w:rPr>
          <w:rFonts w:ascii="Dax Offc Pro Light" w:hAnsi="Dax Offc Pro Light"/>
          <w:i w:val="0"/>
          <w:iCs w:val="0"/>
          <w:sz w:val="20"/>
          <w:szCs w:val="20"/>
          <w:lang w:val="cs-CZ"/>
        </w:rPr>
        <w:t xml:space="preserve">kupní </w:t>
      </w:r>
      <w:r w:rsidRPr="00454560">
        <w:rPr>
          <w:rFonts w:ascii="Dax Offc Pro Light" w:hAnsi="Dax Offc Pro Light"/>
          <w:i w:val="0"/>
          <w:iCs w:val="0"/>
          <w:sz w:val="20"/>
          <w:szCs w:val="20"/>
          <w:lang w:val="cs-CZ"/>
        </w:rPr>
        <w:t xml:space="preserve">smlouvu podstatným způsobem, má prodávající právo od smlouvy odstoupit. Za podstatné porušení smlouvy kupujícím se považuje zejména: </w:t>
      </w:r>
    </w:p>
    <w:p w14:paraId="1439587C" w14:textId="0DF75794" w:rsidR="00EC1E65" w:rsidRPr="00454560" w:rsidRDefault="00EC1E65" w:rsidP="00631E48">
      <w:pPr>
        <w:pStyle w:val="Nadpis9"/>
        <w:rPr>
          <w:rFonts w:ascii="Dax Offc Pro Light" w:hAnsi="Dax Offc Pro Light"/>
          <w:i w:val="0"/>
          <w:iCs w:val="0"/>
          <w:sz w:val="20"/>
          <w:szCs w:val="20"/>
          <w:lang w:val="cs-CZ"/>
        </w:rPr>
      </w:pPr>
      <w:r w:rsidRPr="00454560">
        <w:rPr>
          <w:rFonts w:ascii="Dax Offc Pro Light" w:hAnsi="Dax Offc Pro Light"/>
          <w:i w:val="0"/>
          <w:iCs w:val="0"/>
          <w:sz w:val="20"/>
          <w:szCs w:val="20"/>
          <w:lang w:val="cs-CZ"/>
        </w:rPr>
        <w:t xml:space="preserve">a) je-li kupující v prodlení s úhradou jakéhokoli peněžitého dluhu o více jak </w:t>
      </w:r>
      <w:r>
        <w:rPr>
          <w:rFonts w:ascii="Dax Offc Pro Light" w:hAnsi="Dax Offc Pro Light"/>
          <w:i w:val="0"/>
          <w:iCs w:val="0"/>
          <w:sz w:val="20"/>
          <w:szCs w:val="20"/>
          <w:lang w:val="cs-CZ"/>
        </w:rPr>
        <w:t>14</w:t>
      </w:r>
      <w:r w:rsidRPr="00454560">
        <w:rPr>
          <w:rFonts w:ascii="Dax Offc Pro Light" w:hAnsi="Dax Offc Pro Light"/>
          <w:i w:val="0"/>
          <w:iCs w:val="0"/>
          <w:sz w:val="20"/>
          <w:szCs w:val="20"/>
          <w:lang w:val="cs-CZ"/>
        </w:rPr>
        <w:t xml:space="preserve"> dní, nebo</w:t>
      </w:r>
    </w:p>
    <w:p w14:paraId="77044936" w14:textId="77777777" w:rsidR="00EC1E65" w:rsidRPr="00454560" w:rsidRDefault="00EC1E65" w:rsidP="00631E48">
      <w:pPr>
        <w:pStyle w:val="Nadpis9"/>
        <w:rPr>
          <w:rFonts w:ascii="Dax Offc Pro Light" w:hAnsi="Dax Offc Pro Light"/>
          <w:i w:val="0"/>
          <w:iCs w:val="0"/>
          <w:sz w:val="20"/>
          <w:szCs w:val="20"/>
          <w:lang w:val="cs-CZ"/>
        </w:rPr>
      </w:pPr>
      <w:r w:rsidRPr="00454560">
        <w:rPr>
          <w:rFonts w:ascii="Dax Offc Pro Light" w:hAnsi="Dax Offc Pro Light"/>
          <w:i w:val="0"/>
          <w:iCs w:val="0"/>
          <w:sz w:val="20"/>
          <w:szCs w:val="20"/>
          <w:lang w:val="cs-CZ"/>
        </w:rPr>
        <w:t>b) dostane-li se kupující do úpadku ve smyslu zákona č. 182/2006 Sb., o úpadku a způsobech jeho řešení (insolvenční zákon), v platném znění a/nebo bude proti kupujícímu podán návrh na zahájení insolvenčního řízení, návrh na prohlášení konkursu na majetek kupujícího a/nebo kupující navrhne povolení ochranné lhůty, povolení vyrovnání atd. a/nebo soud rozhodne o prohlášení konkursu na majetek kupujícího nebo o povolení oddlužení, o povolení ochranné lhůty, nebo schválení oddlužení či o vyhlášení moratoria kupujícího a/nebo soud rozhodne o povolení reorganizace, o povolení vyrovnání či zamítne návrh na prohlášení konkursu na majetek kupujícího pro nedostatek majetku či zamítne insolvenční návrh pro nedostatek majetku kupujícího.</w:t>
      </w:r>
    </w:p>
    <w:p w14:paraId="02E91ACE" w14:textId="21341593" w:rsidR="00F03E3A" w:rsidRDefault="000B3298" w:rsidP="00631E48">
      <w:pPr>
        <w:rPr>
          <w:rFonts w:ascii="Dax Offc Pro Light" w:eastAsia="Times New Roman" w:hAnsi="Dax Offc Pro Light"/>
          <w:b/>
          <w:bCs/>
          <w:szCs w:val="20"/>
          <w:lang w:val="cs-CZ" w:eastAsia="cs-CZ"/>
        </w:rPr>
      </w:pPr>
      <w:r w:rsidRPr="00EC1E65">
        <w:rPr>
          <w:rFonts w:ascii="Dax Offc Pro Light" w:eastAsia="Times New Roman" w:hAnsi="Dax Offc Pro Light"/>
          <w:szCs w:val="20"/>
          <w:lang w:val="cs-CZ" w:eastAsia="cs-CZ"/>
        </w:rPr>
        <w:t xml:space="preserve"> </w:t>
      </w:r>
      <w:r w:rsidR="00F03E3A" w:rsidRPr="00454560">
        <w:rPr>
          <w:rFonts w:ascii="Dax Offc Pro Light" w:eastAsia="Times New Roman" w:hAnsi="Dax Offc Pro Light"/>
          <w:b/>
          <w:bCs/>
          <w:szCs w:val="20"/>
          <w:lang w:val="cs-CZ" w:eastAsia="cs-CZ"/>
        </w:rPr>
        <w:t>VI. Závěrečná ustanovení</w:t>
      </w:r>
    </w:p>
    <w:p w14:paraId="41748C83" w14:textId="77777777" w:rsidR="00F76667" w:rsidRDefault="00F76667" w:rsidP="00631E48">
      <w:pPr>
        <w:ind w:right="120"/>
        <w:rPr>
          <w:rFonts w:ascii="Dax Offc Pro Light" w:eastAsia="Times New Roman" w:hAnsi="Dax Offc Pro Light"/>
          <w:color w:val="545454"/>
          <w:szCs w:val="20"/>
          <w:lang w:val="cs-CZ" w:eastAsia="cs-CZ"/>
        </w:rPr>
      </w:pPr>
      <w:r>
        <w:rPr>
          <w:rFonts w:ascii="Dax Offc Pro Light" w:eastAsia="Times New Roman" w:hAnsi="Dax Offc Pro Light"/>
          <w:color w:val="545454"/>
          <w:szCs w:val="20"/>
          <w:lang w:val="cs-CZ" w:eastAsia="cs-CZ"/>
        </w:rPr>
        <w:t>1.</w:t>
      </w:r>
      <w:r w:rsidR="00EC1E65" w:rsidRPr="00454560">
        <w:rPr>
          <w:rFonts w:ascii="Dax Offc Pro Light" w:eastAsia="Times New Roman" w:hAnsi="Dax Offc Pro Light"/>
          <w:color w:val="545454"/>
          <w:szCs w:val="20"/>
          <w:lang w:val="cs-CZ" w:eastAsia="cs-CZ"/>
        </w:rPr>
        <w:t>Práva a povinnosti prodávajícího a kupujícího z kupní smlouvy se řídí právem České republiky.</w:t>
      </w:r>
    </w:p>
    <w:p w14:paraId="4A97064F" w14:textId="2AF35CA9" w:rsidR="00EC1E65" w:rsidRPr="00454560" w:rsidRDefault="00F76667" w:rsidP="00631E48">
      <w:pPr>
        <w:ind w:right="120"/>
        <w:rPr>
          <w:rFonts w:ascii="Dax Offc Pro Light" w:eastAsia="Times New Roman" w:hAnsi="Dax Offc Pro Light"/>
          <w:color w:val="545454"/>
          <w:szCs w:val="20"/>
          <w:lang w:val="cs-CZ" w:eastAsia="cs-CZ"/>
        </w:rPr>
      </w:pPr>
      <w:r>
        <w:rPr>
          <w:rFonts w:ascii="Dax Offc Pro Light" w:eastAsia="Times New Roman" w:hAnsi="Dax Offc Pro Light"/>
          <w:color w:val="545454"/>
          <w:szCs w:val="20"/>
          <w:lang w:val="cs-CZ" w:eastAsia="cs-CZ"/>
        </w:rPr>
        <w:t>2.</w:t>
      </w:r>
      <w:r w:rsidR="00EC1E65" w:rsidRPr="00454560">
        <w:rPr>
          <w:rFonts w:ascii="Dax Offc Pro Light" w:eastAsia="Times New Roman" w:hAnsi="Dax Offc Pro Light"/>
          <w:color w:val="545454"/>
          <w:szCs w:val="20"/>
          <w:lang w:val="cs-CZ" w:eastAsia="cs-CZ"/>
        </w:rPr>
        <w:t>Smluvní strany sjednávají pro veškeré spory z kupní smlouvy místní příslušnost obecně příslušného soudu žalující strany.</w:t>
      </w:r>
    </w:p>
    <w:p w14:paraId="08D8E6DE" w14:textId="77777777" w:rsidR="00F76667" w:rsidRDefault="00F76667" w:rsidP="00631E48">
      <w:pPr>
        <w:ind w:right="120"/>
        <w:rPr>
          <w:rFonts w:ascii="Dax Offc Pro Light" w:eastAsia="Times New Roman" w:hAnsi="Dax Offc Pro Light"/>
          <w:color w:val="545454"/>
          <w:szCs w:val="20"/>
          <w:lang w:val="cs-CZ" w:eastAsia="cs-CZ"/>
        </w:rPr>
      </w:pPr>
      <w:r>
        <w:rPr>
          <w:rFonts w:ascii="Dax Offc Pro Light" w:eastAsia="Times New Roman" w:hAnsi="Dax Offc Pro Light"/>
          <w:color w:val="545454"/>
          <w:szCs w:val="20"/>
          <w:lang w:val="cs-CZ" w:eastAsia="cs-CZ"/>
        </w:rPr>
        <w:t>3.</w:t>
      </w:r>
      <w:r w:rsidR="00EC1E65" w:rsidRPr="00CA3F6B">
        <w:rPr>
          <w:rFonts w:ascii="Dax Offc Pro Light" w:eastAsia="Times New Roman" w:hAnsi="Dax Offc Pro Light"/>
          <w:color w:val="545454"/>
          <w:szCs w:val="20"/>
          <w:lang w:val="cs-CZ" w:eastAsia="cs-CZ"/>
        </w:rPr>
        <w:t>Pro smluvní vztahy z kupní smlouvy neplatí ustanovení § 1978 odst. 2 občanského zákoníku, tj. oznámí-li věřitel dlužníkovi, že mu určuje dodatečnou lhůtu k plnění a že mu ji již neprodlouží, neplatí (není-li výslovně v oznámení stanoveno jinak), že marným uplynutím této lhůty od smlouvy odstoupil.</w:t>
      </w:r>
    </w:p>
    <w:p w14:paraId="55182863" w14:textId="53AF583C" w:rsidR="00EC1E65" w:rsidRPr="00CA3F6B" w:rsidRDefault="00F76667" w:rsidP="00631E48">
      <w:pPr>
        <w:ind w:right="120"/>
        <w:rPr>
          <w:rFonts w:ascii="Dax Offc Pro Light" w:eastAsia="Times New Roman" w:hAnsi="Dax Offc Pro Light"/>
          <w:color w:val="545454"/>
          <w:szCs w:val="20"/>
          <w:lang w:val="cs-CZ" w:eastAsia="cs-CZ"/>
        </w:rPr>
      </w:pPr>
      <w:r>
        <w:rPr>
          <w:rFonts w:ascii="Dax Offc Pro Light" w:eastAsia="Times New Roman" w:hAnsi="Dax Offc Pro Light"/>
          <w:color w:val="545454"/>
          <w:szCs w:val="20"/>
          <w:lang w:val="cs-CZ" w:eastAsia="cs-CZ"/>
        </w:rPr>
        <w:t xml:space="preserve">4. </w:t>
      </w:r>
      <w:r w:rsidR="00EC1E65" w:rsidRPr="00CA3F6B">
        <w:rPr>
          <w:rFonts w:ascii="Dax Offc Pro Light" w:eastAsia="Times New Roman" w:hAnsi="Dax Offc Pro Light"/>
          <w:color w:val="545454"/>
          <w:szCs w:val="20"/>
          <w:lang w:val="cs-CZ" w:eastAsia="cs-CZ"/>
        </w:rPr>
        <w:t>Ujednání smluvních stran obsažené v kupní smlouvě mají přednost před ustanoveními těchto podmínek.</w:t>
      </w:r>
    </w:p>
    <w:p w14:paraId="2406DA4A" w14:textId="43638E0B" w:rsidR="00F76667" w:rsidRPr="00410C51" w:rsidRDefault="00F76667" w:rsidP="00631E48">
      <w:pPr>
        <w:spacing w:after="240"/>
        <w:ind w:right="120"/>
        <w:rPr>
          <w:rFonts w:ascii="Dax Offc Pro Light" w:eastAsia="Times New Roman" w:hAnsi="Dax Offc Pro Light"/>
          <w:color w:val="545454"/>
          <w:szCs w:val="20"/>
          <w:lang w:val="cs-CZ" w:eastAsia="cs-CZ"/>
        </w:rPr>
      </w:pPr>
      <w:r>
        <w:rPr>
          <w:rFonts w:ascii="Dax Offc Pro Light" w:eastAsia="Times New Roman" w:hAnsi="Dax Offc Pro Light"/>
          <w:color w:val="545454"/>
          <w:szCs w:val="20"/>
          <w:lang w:val="cs-CZ" w:eastAsia="cs-CZ"/>
        </w:rPr>
        <w:t xml:space="preserve">5. </w:t>
      </w:r>
      <w:r w:rsidR="00EC1E65" w:rsidRPr="00CA3F6B">
        <w:rPr>
          <w:rFonts w:ascii="Dax Offc Pro Light" w:eastAsia="Times New Roman" w:hAnsi="Dax Offc Pro Light"/>
          <w:color w:val="545454"/>
          <w:szCs w:val="20"/>
          <w:lang w:val="cs-CZ" w:eastAsia="cs-CZ"/>
        </w:rPr>
        <w:t xml:space="preserve">Tyto </w:t>
      </w:r>
      <w:r w:rsidR="00B37C17">
        <w:rPr>
          <w:rFonts w:ascii="Dax Offc Pro Light" w:eastAsia="Times New Roman" w:hAnsi="Dax Offc Pro Light"/>
          <w:color w:val="545454"/>
          <w:szCs w:val="20"/>
          <w:lang w:val="cs-CZ" w:eastAsia="cs-CZ"/>
        </w:rPr>
        <w:t xml:space="preserve">obchodní </w:t>
      </w:r>
      <w:r w:rsidR="00EC1E65" w:rsidRPr="00CA3F6B">
        <w:rPr>
          <w:rFonts w:ascii="Dax Offc Pro Light" w:eastAsia="Times New Roman" w:hAnsi="Dax Offc Pro Light"/>
          <w:color w:val="545454"/>
          <w:szCs w:val="20"/>
          <w:lang w:val="cs-CZ" w:eastAsia="cs-CZ"/>
        </w:rPr>
        <w:t>podmínky jsou účinné od 1.</w:t>
      </w:r>
      <w:r w:rsidR="00D62BA0">
        <w:rPr>
          <w:rFonts w:ascii="Dax Offc Pro Light" w:eastAsia="Times New Roman" w:hAnsi="Dax Offc Pro Light"/>
          <w:color w:val="545454"/>
          <w:szCs w:val="20"/>
          <w:lang w:val="cs-CZ" w:eastAsia="cs-CZ"/>
        </w:rPr>
        <w:t>2</w:t>
      </w:r>
      <w:r>
        <w:rPr>
          <w:rFonts w:ascii="Dax Offc Pro Light" w:eastAsia="Times New Roman" w:hAnsi="Dax Offc Pro Light"/>
          <w:color w:val="545454"/>
          <w:szCs w:val="20"/>
          <w:lang w:val="cs-CZ" w:eastAsia="cs-CZ"/>
        </w:rPr>
        <w:t>.2023</w:t>
      </w:r>
    </w:p>
    <w:p w14:paraId="7A2D9A28" w14:textId="77777777" w:rsidR="00F76667" w:rsidRDefault="00F76667" w:rsidP="00631E48">
      <w:pPr>
        <w:spacing w:after="240"/>
        <w:ind w:right="120"/>
        <w:rPr>
          <w:rFonts w:ascii="Dax Offc Pro Light" w:hAnsi="Dax Offc Pro Light"/>
          <w:b/>
          <w:bCs/>
          <w:szCs w:val="20"/>
          <w:lang w:val="cs-CZ"/>
        </w:rPr>
      </w:pPr>
    </w:p>
    <w:p w14:paraId="42AD5DC0" w14:textId="77777777" w:rsidR="00F76667" w:rsidRDefault="00F76667" w:rsidP="00631E48">
      <w:pPr>
        <w:spacing w:after="240"/>
        <w:ind w:right="120"/>
        <w:rPr>
          <w:rFonts w:ascii="Dax Offc Pro Light" w:hAnsi="Dax Offc Pro Light"/>
          <w:b/>
          <w:bCs/>
          <w:szCs w:val="20"/>
          <w:lang w:val="cs-CZ"/>
        </w:rPr>
      </w:pPr>
    </w:p>
    <w:p w14:paraId="5F89B2B6" w14:textId="77777777" w:rsidR="00F76667" w:rsidRDefault="00F76667" w:rsidP="00631E48">
      <w:pPr>
        <w:spacing w:after="240"/>
        <w:ind w:right="120"/>
        <w:rPr>
          <w:rFonts w:ascii="Dax Offc Pro Light" w:hAnsi="Dax Offc Pro Light"/>
          <w:b/>
          <w:bCs/>
          <w:szCs w:val="20"/>
          <w:lang w:val="cs-CZ"/>
        </w:rPr>
      </w:pPr>
    </w:p>
    <w:p w14:paraId="6755A8A1" w14:textId="77777777" w:rsidR="00F76667" w:rsidRDefault="00F76667" w:rsidP="00631E48">
      <w:pPr>
        <w:spacing w:after="240"/>
        <w:ind w:right="120"/>
        <w:rPr>
          <w:rFonts w:ascii="Dax Offc Pro Light" w:hAnsi="Dax Offc Pro Light"/>
          <w:b/>
          <w:bCs/>
          <w:szCs w:val="20"/>
          <w:lang w:val="cs-CZ"/>
        </w:rPr>
      </w:pPr>
    </w:p>
    <w:p w14:paraId="3084CD4B" w14:textId="77777777" w:rsidR="00F76667" w:rsidRDefault="00F76667" w:rsidP="00631E48">
      <w:pPr>
        <w:spacing w:after="240"/>
        <w:ind w:right="120"/>
        <w:rPr>
          <w:rFonts w:ascii="Dax Offc Pro Light" w:hAnsi="Dax Offc Pro Light"/>
          <w:b/>
          <w:bCs/>
          <w:szCs w:val="20"/>
          <w:lang w:val="cs-CZ"/>
        </w:rPr>
      </w:pPr>
    </w:p>
    <w:p w14:paraId="1D260A2D" w14:textId="77777777" w:rsidR="00F76667" w:rsidRDefault="00F76667" w:rsidP="00631E48">
      <w:pPr>
        <w:spacing w:after="240"/>
        <w:ind w:right="120"/>
        <w:rPr>
          <w:rFonts w:ascii="Dax Offc Pro Light" w:hAnsi="Dax Offc Pro Light"/>
          <w:b/>
          <w:bCs/>
          <w:szCs w:val="20"/>
          <w:lang w:val="cs-CZ"/>
        </w:rPr>
      </w:pPr>
    </w:p>
    <w:p w14:paraId="42C69160" w14:textId="77777777" w:rsidR="00F76667" w:rsidRDefault="00F76667" w:rsidP="00631E48">
      <w:pPr>
        <w:spacing w:after="240"/>
        <w:ind w:right="120"/>
        <w:rPr>
          <w:rFonts w:ascii="Dax Offc Pro Light" w:hAnsi="Dax Offc Pro Light"/>
          <w:b/>
          <w:bCs/>
          <w:szCs w:val="20"/>
          <w:lang w:val="cs-CZ"/>
        </w:rPr>
      </w:pPr>
    </w:p>
    <w:p w14:paraId="352EE00D" w14:textId="77777777" w:rsidR="00F76667" w:rsidRDefault="00F76667" w:rsidP="00631E48">
      <w:pPr>
        <w:spacing w:after="240"/>
        <w:ind w:right="120"/>
        <w:rPr>
          <w:rFonts w:ascii="Dax Offc Pro Light" w:hAnsi="Dax Offc Pro Light"/>
          <w:b/>
          <w:bCs/>
          <w:szCs w:val="20"/>
          <w:lang w:val="cs-CZ"/>
        </w:rPr>
      </w:pPr>
    </w:p>
    <w:sectPr w:rsidR="00F76667" w:rsidSect="00E03802">
      <w:pgSz w:w="11906" w:h="16838" w:code="9"/>
      <w:pgMar w:top="1440" w:right="70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893E" w14:textId="77777777" w:rsidR="00C42D2B" w:rsidRDefault="00C42D2B" w:rsidP="00221210">
      <w:r>
        <w:separator/>
      </w:r>
    </w:p>
  </w:endnote>
  <w:endnote w:type="continuationSeparator" w:id="0">
    <w:p w14:paraId="6F11106A" w14:textId="77777777" w:rsidR="00C42D2B" w:rsidRDefault="00C42D2B" w:rsidP="0022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ax Offc Pro Light">
    <w:altName w:val="Calibri"/>
    <w:charset w:val="EE"/>
    <w:family w:val="swiss"/>
    <w:pitch w:val="variable"/>
    <w:sig w:usb0="A00002BF" w:usb1="4000A4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F1CB" w14:textId="77777777" w:rsidR="00C42D2B" w:rsidRDefault="00C42D2B" w:rsidP="00221210">
      <w:r>
        <w:separator/>
      </w:r>
    </w:p>
  </w:footnote>
  <w:footnote w:type="continuationSeparator" w:id="0">
    <w:p w14:paraId="0F320A75" w14:textId="77777777" w:rsidR="00C42D2B" w:rsidRDefault="00C42D2B" w:rsidP="00221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5948"/>
    <w:multiLevelType w:val="hybridMultilevel"/>
    <w:tmpl w:val="AA564C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43362E"/>
    <w:multiLevelType w:val="hybridMultilevel"/>
    <w:tmpl w:val="A7B8E8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A74D65"/>
    <w:multiLevelType w:val="hybridMultilevel"/>
    <w:tmpl w:val="85E62E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AC2D44"/>
    <w:multiLevelType w:val="hybridMultilevel"/>
    <w:tmpl w:val="87AE82E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467838"/>
    <w:multiLevelType w:val="hybridMultilevel"/>
    <w:tmpl w:val="B1129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2F1EFD"/>
    <w:multiLevelType w:val="multilevel"/>
    <w:tmpl w:val="EE9ECDD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3A3C6131"/>
    <w:multiLevelType w:val="hybridMultilevel"/>
    <w:tmpl w:val="D6C60A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AB75FE"/>
    <w:multiLevelType w:val="hybridMultilevel"/>
    <w:tmpl w:val="32B25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EA020E"/>
    <w:multiLevelType w:val="hybridMultilevel"/>
    <w:tmpl w:val="34CA9FF8"/>
    <w:lvl w:ilvl="0" w:tplc="7ABCF9B0">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FE0D74"/>
    <w:multiLevelType w:val="hybridMultilevel"/>
    <w:tmpl w:val="97C4A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655093"/>
    <w:multiLevelType w:val="hybridMultilevel"/>
    <w:tmpl w:val="3FC6E24A"/>
    <w:lvl w:ilvl="0" w:tplc="7C6827AE">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56332091"/>
    <w:multiLevelType w:val="hybridMultilevel"/>
    <w:tmpl w:val="D90AD3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894E31"/>
    <w:multiLevelType w:val="hybridMultilevel"/>
    <w:tmpl w:val="337A1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1628C9"/>
    <w:multiLevelType w:val="hybridMultilevel"/>
    <w:tmpl w:val="8ABA6F6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690118DA"/>
    <w:multiLevelType w:val="hybridMultilevel"/>
    <w:tmpl w:val="BFDCD3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D306FF"/>
    <w:multiLevelType w:val="multilevel"/>
    <w:tmpl w:val="12DCE0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6AC7EA2"/>
    <w:multiLevelType w:val="hybridMultilevel"/>
    <w:tmpl w:val="5FF00F1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9AC1E79"/>
    <w:multiLevelType w:val="hybridMultilevel"/>
    <w:tmpl w:val="463493F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B71844"/>
    <w:multiLevelType w:val="multilevel"/>
    <w:tmpl w:val="563C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16"/>
  </w:num>
  <w:num w:numId="4">
    <w:abstractNumId w:val="3"/>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0"/>
  </w:num>
  <w:num w:numId="10">
    <w:abstractNumId w:val="6"/>
  </w:num>
  <w:num w:numId="11">
    <w:abstractNumId w:val="11"/>
  </w:num>
  <w:num w:numId="12">
    <w:abstractNumId w:val="12"/>
  </w:num>
  <w:num w:numId="13">
    <w:abstractNumId w:val="4"/>
  </w:num>
  <w:num w:numId="14">
    <w:abstractNumId w:val="1"/>
  </w:num>
  <w:num w:numId="15">
    <w:abstractNumId w:val="17"/>
  </w:num>
  <w:num w:numId="16">
    <w:abstractNumId w:val="2"/>
  </w:num>
  <w:num w:numId="17">
    <w:abstractNumId w:val="8"/>
  </w:num>
  <w:num w:numId="18">
    <w:abstractNumId w:val="9"/>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50"/>
    <w:rsid w:val="00011D50"/>
    <w:rsid w:val="00027950"/>
    <w:rsid w:val="000473BF"/>
    <w:rsid w:val="000B3298"/>
    <w:rsid w:val="001D4F3E"/>
    <w:rsid w:val="00221210"/>
    <w:rsid w:val="00315FB4"/>
    <w:rsid w:val="00337C31"/>
    <w:rsid w:val="00377C8D"/>
    <w:rsid w:val="003B5A2B"/>
    <w:rsid w:val="00410C51"/>
    <w:rsid w:val="004465A9"/>
    <w:rsid w:val="00454560"/>
    <w:rsid w:val="004823B7"/>
    <w:rsid w:val="004D436C"/>
    <w:rsid w:val="005160B4"/>
    <w:rsid w:val="00524E38"/>
    <w:rsid w:val="005454B7"/>
    <w:rsid w:val="00560476"/>
    <w:rsid w:val="005F64AE"/>
    <w:rsid w:val="00631E48"/>
    <w:rsid w:val="006A0ECC"/>
    <w:rsid w:val="006A41E6"/>
    <w:rsid w:val="006A5C0D"/>
    <w:rsid w:val="006D0BD6"/>
    <w:rsid w:val="00756064"/>
    <w:rsid w:val="00795ADA"/>
    <w:rsid w:val="00816D80"/>
    <w:rsid w:val="008962E8"/>
    <w:rsid w:val="009A2913"/>
    <w:rsid w:val="009C2722"/>
    <w:rsid w:val="00A17671"/>
    <w:rsid w:val="00A87B32"/>
    <w:rsid w:val="00B10493"/>
    <w:rsid w:val="00B37C17"/>
    <w:rsid w:val="00B851F3"/>
    <w:rsid w:val="00C016E3"/>
    <w:rsid w:val="00C4085A"/>
    <w:rsid w:val="00C42D2B"/>
    <w:rsid w:val="00D62BA0"/>
    <w:rsid w:val="00D81E2A"/>
    <w:rsid w:val="00DA44EA"/>
    <w:rsid w:val="00E03802"/>
    <w:rsid w:val="00E32151"/>
    <w:rsid w:val="00E620C8"/>
    <w:rsid w:val="00E8511A"/>
    <w:rsid w:val="00EC1E65"/>
    <w:rsid w:val="00F03E3A"/>
    <w:rsid w:val="00F76667"/>
    <w:rsid w:val="00F94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A7BA"/>
  <w15:chartTrackingRefBased/>
  <w15:docId w15:val="{EA8053F9-0895-4735-BD98-FAEE5801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4E38"/>
    <w:rPr>
      <w:rFonts w:ascii="Arial" w:hAnsi="Arial"/>
      <w:szCs w:val="22"/>
      <w:lang w:eastAsia="en-US"/>
    </w:rPr>
  </w:style>
  <w:style w:type="paragraph" w:styleId="Nadpis1">
    <w:name w:val="heading 1"/>
    <w:basedOn w:val="Normln"/>
    <w:link w:val="Nadpis1Char"/>
    <w:uiPriority w:val="9"/>
    <w:qFormat/>
    <w:rsid w:val="00027950"/>
    <w:pPr>
      <w:spacing w:before="100" w:beforeAutospacing="1" w:after="100" w:afterAutospacing="1"/>
      <w:outlineLvl w:val="0"/>
    </w:pPr>
    <w:rPr>
      <w:rFonts w:ascii="Times New Roman" w:eastAsia="Times New Roman" w:hAnsi="Times New Roman"/>
      <w:b/>
      <w:bCs/>
      <w:kern w:val="36"/>
      <w:sz w:val="48"/>
      <w:szCs w:val="48"/>
      <w:lang w:val="cs-CZ" w:eastAsia="cs-CZ"/>
    </w:rPr>
  </w:style>
  <w:style w:type="paragraph" w:styleId="Nadpis9">
    <w:name w:val="heading 9"/>
    <w:basedOn w:val="Normln"/>
    <w:next w:val="Normln"/>
    <w:link w:val="Nadpis9Char"/>
    <w:uiPriority w:val="9"/>
    <w:semiHidden/>
    <w:unhideWhenUsed/>
    <w:qFormat/>
    <w:rsid w:val="00A87B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7950"/>
    <w:rPr>
      <w:rFonts w:ascii="Times New Roman" w:eastAsia="Times New Roman" w:hAnsi="Times New Roman"/>
      <w:b/>
      <w:bCs/>
      <w:kern w:val="36"/>
      <w:sz w:val="48"/>
      <w:szCs w:val="48"/>
      <w:lang w:val="cs-CZ" w:eastAsia="cs-CZ"/>
    </w:rPr>
  </w:style>
  <w:style w:type="paragraph" w:styleId="Normlnweb">
    <w:name w:val="Normal (Web)"/>
    <w:basedOn w:val="Normln"/>
    <w:uiPriority w:val="99"/>
    <w:semiHidden/>
    <w:unhideWhenUsed/>
    <w:rsid w:val="00027950"/>
    <w:pPr>
      <w:spacing w:before="100" w:beforeAutospacing="1" w:after="100" w:afterAutospacing="1"/>
    </w:pPr>
    <w:rPr>
      <w:rFonts w:ascii="Times New Roman" w:eastAsia="Times New Roman" w:hAnsi="Times New Roman"/>
      <w:sz w:val="24"/>
      <w:szCs w:val="24"/>
      <w:lang w:val="cs-CZ" w:eastAsia="cs-CZ"/>
    </w:rPr>
  </w:style>
  <w:style w:type="character" w:styleId="Siln">
    <w:name w:val="Strong"/>
    <w:basedOn w:val="Standardnpsmoodstavce"/>
    <w:uiPriority w:val="22"/>
    <w:qFormat/>
    <w:rsid w:val="00027950"/>
    <w:rPr>
      <w:b/>
      <w:bCs/>
    </w:rPr>
  </w:style>
  <w:style w:type="character" w:customStyle="1" w:styleId="Nadpis9Char">
    <w:name w:val="Nadpis 9 Char"/>
    <w:basedOn w:val="Standardnpsmoodstavce"/>
    <w:link w:val="Nadpis9"/>
    <w:uiPriority w:val="9"/>
    <w:semiHidden/>
    <w:rsid w:val="00A87B32"/>
    <w:rPr>
      <w:rFonts w:asciiTheme="majorHAnsi" w:eastAsiaTheme="majorEastAsia" w:hAnsiTheme="majorHAnsi" w:cstheme="majorBidi"/>
      <w:i/>
      <w:iCs/>
      <w:color w:val="272727" w:themeColor="text1" w:themeTint="D8"/>
      <w:sz w:val="21"/>
      <w:szCs w:val="21"/>
      <w:lang w:eastAsia="en-US"/>
    </w:rPr>
  </w:style>
  <w:style w:type="paragraph" w:styleId="Zhlav">
    <w:name w:val="header"/>
    <w:basedOn w:val="Normln"/>
    <w:link w:val="ZhlavChar"/>
    <w:uiPriority w:val="99"/>
    <w:unhideWhenUsed/>
    <w:rsid w:val="00221210"/>
    <w:pPr>
      <w:tabs>
        <w:tab w:val="center" w:pos="4536"/>
        <w:tab w:val="right" w:pos="9072"/>
      </w:tabs>
    </w:pPr>
  </w:style>
  <w:style w:type="character" w:customStyle="1" w:styleId="ZhlavChar">
    <w:name w:val="Záhlaví Char"/>
    <w:basedOn w:val="Standardnpsmoodstavce"/>
    <w:link w:val="Zhlav"/>
    <w:uiPriority w:val="99"/>
    <w:rsid w:val="00221210"/>
    <w:rPr>
      <w:rFonts w:ascii="Arial" w:hAnsi="Arial"/>
      <w:szCs w:val="22"/>
      <w:lang w:eastAsia="en-US"/>
    </w:rPr>
  </w:style>
  <w:style w:type="paragraph" w:styleId="Zpat">
    <w:name w:val="footer"/>
    <w:basedOn w:val="Normln"/>
    <w:link w:val="ZpatChar"/>
    <w:uiPriority w:val="99"/>
    <w:unhideWhenUsed/>
    <w:rsid w:val="00221210"/>
    <w:pPr>
      <w:tabs>
        <w:tab w:val="center" w:pos="4536"/>
        <w:tab w:val="right" w:pos="9072"/>
      </w:tabs>
    </w:pPr>
  </w:style>
  <w:style w:type="character" w:customStyle="1" w:styleId="ZpatChar">
    <w:name w:val="Zápatí Char"/>
    <w:basedOn w:val="Standardnpsmoodstavce"/>
    <w:link w:val="Zpat"/>
    <w:uiPriority w:val="99"/>
    <w:rsid w:val="00221210"/>
    <w:rPr>
      <w:rFonts w:ascii="Arial" w:hAnsi="Arial"/>
      <w:szCs w:val="22"/>
      <w:lang w:eastAsia="en-US"/>
    </w:rPr>
  </w:style>
  <w:style w:type="paragraph" w:styleId="Odstavecseseznamem">
    <w:name w:val="List Paragraph"/>
    <w:basedOn w:val="Normln"/>
    <w:uiPriority w:val="34"/>
    <w:qFormat/>
    <w:rsid w:val="00221210"/>
    <w:pPr>
      <w:ind w:left="720"/>
      <w:contextualSpacing/>
    </w:pPr>
  </w:style>
  <w:style w:type="character" w:styleId="Hypertextovodkaz">
    <w:name w:val="Hyperlink"/>
    <w:basedOn w:val="Standardnpsmoodstavce"/>
    <w:uiPriority w:val="99"/>
    <w:unhideWhenUsed/>
    <w:rsid w:val="00221210"/>
    <w:rPr>
      <w:color w:val="0000FF" w:themeColor="hyperlink"/>
      <w:u w:val="single"/>
    </w:rPr>
  </w:style>
  <w:style w:type="character" w:styleId="Nevyeenzmnka">
    <w:name w:val="Unresolved Mention"/>
    <w:basedOn w:val="Standardnpsmoodstavce"/>
    <w:uiPriority w:val="99"/>
    <w:semiHidden/>
    <w:unhideWhenUsed/>
    <w:rsid w:val="00221210"/>
    <w:rPr>
      <w:color w:val="605E5C"/>
      <w:shd w:val="clear" w:color="auto" w:fill="E1DFDD"/>
    </w:rPr>
  </w:style>
  <w:style w:type="paragraph" w:styleId="Zkladntext">
    <w:name w:val="Body Text"/>
    <w:basedOn w:val="Normln"/>
    <w:link w:val="ZkladntextChar"/>
    <w:rsid w:val="00560476"/>
    <w:pPr>
      <w:spacing w:after="120" w:line="360" w:lineRule="auto"/>
      <w:jc w:val="both"/>
    </w:pPr>
    <w:rPr>
      <w:rFonts w:ascii="Times New Roman" w:eastAsia="Times New Roman" w:hAnsi="Times New Roman"/>
      <w:sz w:val="24"/>
      <w:szCs w:val="20"/>
      <w:lang w:val="cs-CZ" w:eastAsia="cs-CZ"/>
    </w:rPr>
  </w:style>
  <w:style w:type="character" w:customStyle="1" w:styleId="ZkladntextChar">
    <w:name w:val="Základní text Char"/>
    <w:basedOn w:val="Standardnpsmoodstavce"/>
    <w:link w:val="Zkladntext"/>
    <w:rsid w:val="00560476"/>
    <w:rPr>
      <w:rFonts w:ascii="Times New Roman" w:eastAsia="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524">
      <w:bodyDiv w:val="1"/>
      <w:marLeft w:val="0"/>
      <w:marRight w:val="0"/>
      <w:marTop w:val="0"/>
      <w:marBottom w:val="0"/>
      <w:divBdr>
        <w:top w:val="none" w:sz="0" w:space="0" w:color="auto"/>
        <w:left w:val="none" w:sz="0" w:space="0" w:color="auto"/>
        <w:bottom w:val="none" w:sz="0" w:space="0" w:color="auto"/>
        <w:right w:val="none" w:sz="0" w:space="0" w:color="auto"/>
      </w:divBdr>
    </w:div>
    <w:div w:id="774642595">
      <w:bodyDiv w:val="1"/>
      <w:marLeft w:val="0"/>
      <w:marRight w:val="0"/>
      <w:marTop w:val="0"/>
      <w:marBottom w:val="0"/>
      <w:divBdr>
        <w:top w:val="none" w:sz="0" w:space="0" w:color="auto"/>
        <w:left w:val="none" w:sz="0" w:space="0" w:color="auto"/>
        <w:bottom w:val="none" w:sz="0" w:space="0" w:color="auto"/>
        <w:right w:val="none" w:sz="0" w:space="0" w:color="auto"/>
      </w:divBdr>
    </w:div>
    <w:div w:id="1011760874">
      <w:bodyDiv w:val="1"/>
      <w:marLeft w:val="0"/>
      <w:marRight w:val="0"/>
      <w:marTop w:val="0"/>
      <w:marBottom w:val="0"/>
      <w:divBdr>
        <w:top w:val="none" w:sz="0" w:space="0" w:color="auto"/>
        <w:left w:val="none" w:sz="0" w:space="0" w:color="auto"/>
        <w:bottom w:val="none" w:sz="0" w:space="0" w:color="auto"/>
        <w:right w:val="none" w:sz="0" w:space="0" w:color="auto"/>
      </w:divBdr>
    </w:div>
    <w:div w:id="1368069741">
      <w:bodyDiv w:val="1"/>
      <w:marLeft w:val="0"/>
      <w:marRight w:val="0"/>
      <w:marTop w:val="0"/>
      <w:marBottom w:val="0"/>
      <w:divBdr>
        <w:top w:val="none" w:sz="0" w:space="0" w:color="auto"/>
        <w:left w:val="none" w:sz="0" w:space="0" w:color="auto"/>
        <w:bottom w:val="none" w:sz="0" w:space="0" w:color="auto"/>
        <w:right w:val="none" w:sz="0" w:space="0" w:color="auto"/>
      </w:divBdr>
    </w:div>
    <w:div w:id="155762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269;&#225;ste&#269;n&#25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2007</Words>
  <Characters>11845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Ruzicka, Miroslav</dc:creator>
  <cp:keywords/>
  <dc:description/>
  <cp:lastModifiedBy>Hnizdil, Tomas</cp:lastModifiedBy>
  <cp:revision>9</cp:revision>
  <cp:lastPrinted>2023-01-23T06:39:00Z</cp:lastPrinted>
  <dcterms:created xsi:type="dcterms:W3CDTF">2023-01-24T08:06:00Z</dcterms:created>
  <dcterms:modified xsi:type="dcterms:W3CDTF">2023-02-17T08:12:00Z</dcterms:modified>
</cp:coreProperties>
</file>